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87" w:rsidRDefault="00081887" w:rsidP="00081887">
      <w:pPr>
        <w:spacing w:line="24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mgr Paweł Lewandowski</w:t>
      </w:r>
    </w:p>
    <w:p w:rsidR="00081887" w:rsidRPr="00081887" w:rsidRDefault="00081887" w:rsidP="00081887">
      <w:pPr>
        <w:spacing w:line="240" w:lineRule="auto"/>
        <w:ind w:firstLine="567"/>
        <w:jc w:val="both"/>
        <w:rPr>
          <w:i/>
          <w:sz w:val="24"/>
          <w:szCs w:val="24"/>
        </w:rPr>
      </w:pPr>
      <w:r w:rsidRPr="00081887">
        <w:rPr>
          <w:i/>
          <w:sz w:val="24"/>
          <w:szCs w:val="24"/>
        </w:rPr>
        <w:t>„Charakter prawny wyzysku w prawie cywilnym”</w:t>
      </w:r>
    </w:p>
    <w:p w:rsidR="00081887" w:rsidRDefault="00081887" w:rsidP="00081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Rozprawa doktorska napisana pod kierunkiem naukowym </w:t>
      </w:r>
    </w:p>
    <w:p w:rsidR="00081887" w:rsidRDefault="00081887" w:rsidP="00081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dr hab. Macieja Kalińskiego, prof. UW</w:t>
      </w:r>
    </w:p>
    <w:p w:rsidR="00081887" w:rsidRDefault="00081887" w:rsidP="00081887">
      <w:pPr>
        <w:spacing w:line="240" w:lineRule="auto"/>
        <w:ind w:firstLine="567"/>
        <w:jc w:val="both"/>
        <w:rPr>
          <w:sz w:val="24"/>
          <w:szCs w:val="24"/>
        </w:rPr>
      </w:pPr>
    </w:p>
    <w:p w:rsidR="00081887" w:rsidRPr="00081887" w:rsidRDefault="00081887" w:rsidP="00081887">
      <w:pPr>
        <w:spacing w:before="240" w:line="360" w:lineRule="auto"/>
        <w:ind w:firstLine="567"/>
        <w:jc w:val="center"/>
        <w:rPr>
          <w:b/>
          <w:sz w:val="28"/>
          <w:szCs w:val="28"/>
        </w:rPr>
      </w:pPr>
      <w:r w:rsidRPr="00081887">
        <w:rPr>
          <w:b/>
          <w:sz w:val="28"/>
          <w:szCs w:val="28"/>
        </w:rPr>
        <w:t>STRESZCZENIE</w:t>
      </w:r>
    </w:p>
    <w:p w:rsidR="0043297D" w:rsidRDefault="00B01B73" w:rsidP="0071146B">
      <w:pPr>
        <w:spacing w:line="360" w:lineRule="auto"/>
        <w:ind w:firstLine="567"/>
        <w:jc w:val="both"/>
        <w:rPr>
          <w:sz w:val="24"/>
          <w:szCs w:val="24"/>
        </w:rPr>
      </w:pPr>
      <w:r w:rsidRPr="00F0230F">
        <w:rPr>
          <w:sz w:val="24"/>
          <w:szCs w:val="24"/>
          <w:lang w:eastAsia="pl-PL"/>
        </w:rPr>
        <w:t xml:space="preserve">Wyzysk </w:t>
      </w:r>
      <w:r>
        <w:rPr>
          <w:sz w:val="24"/>
          <w:szCs w:val="24"/>
          <w:lang w:eastAsia="pl-PL"/>
        </w:rPr>
        <w:t xml:space="preserve">jest negatywnym zjawiskiem wpisanym w ludzką egzystencję od bardzo dawna (wspominają o nim starożytne </w:t>
      </w:r>
      <w:r w:rsidRPr="00F0230F">
        <w:rPr>
          <w:sz w:val="24"/>
          <w:szCs w:val="24"/>
          <w:lang w:eastAsia="pl-PL"/>
        </w:rPr>
        <w:t>przekazy</w:t>
      </w:r>
      <w:r>
        <w:rPr>
          <w:sz w:val="24"/>
          <w:szCs w:val="24"/>
          <w:lang w:eastAsia="pl-PL"/>
        </w:rPr>
        <w:t xml:space="preserve"> czy karty </w:t>
      </w:r>
      <w:r w:rsidR="00864A12">
        <w:rPr>
          <w:sz w:val="24"/>
          <w:szCs w:val="24"/>
          <w:lang w:eastAsia="pl-PL"/>
        </w:rPr>
        <w:t>B</w:t>
      </w:r>
      <w:r w:rsidRPr="00F0230F">
        <w:rPr>
          <w:sz w:val="24"/>
          <w:szCs w:val="24"/>
          <w:lang w:eastAsia="pl-PL"/>
        </w:rPr>
        <w:t>iblii</w:t>
      </w:r>
      <w:r>
        <w:rPr>
          <w:sz w:val="24"/>
          <w:szCs w:val="24"/>
          <w:lang w:eastAsia="pl-PL"/>
        </w:rPr>
        <w:t>).</w:t>
      </w:r>
      <w:r w:rsidRPr="00F0230F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</w:t>
      </w:r>
      <w:r>
        <w:rPr>
          <w:sz w:val="24"/>
          <w:szCs w:val="24"/>
        </w:rPr>
        <w:t>yzyskiwanie niekorzystnej sytuacji drugiego podmiotu przyno</w:t>
      </w:r>
      <w:r w:rsidR="00083B7B">
        <w:rPr>
          <w:sz w:val="24"/>
          <w:szCs w:val="24"/>
        </w:rPr>
        <w:t>si nieuzasadnione korzyści, nie</w:t>
      </w:r>
      <w:r>
        <w:rPr>
          <w:sz w:val="24"/>
          <w:szCs w:val="24"/>
        </w:rPr>
        <w:t xml:space="preserve">znajdujące ekwiwalentności w działaniu drugiej strony. </w:t>
      </w:r>
    </w:p>
    <w:p w:rsidR="00B01B73" w:rsidRDefault="00B01B73" w:rsidP="0071146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systemach prawnych </w:t>
      </w:r>
      <w:r w:rsidR="0043297D">
        <w:rPr>
          <w:sz w:val="24"/>
          <w:szCs w:val="24"/>
        </w:rPr>
        <w:t xml:space="preserve">poszczególnych państw </w:t>
      </w:r>
      <w:r>
        <w:rPr>
          <w:sz w:val="24"/>
          <w:szCs w:val="24"/>
        </w:rPr>
        <w:t xml:space="preserve">problem wyzysku rozwiązywany jest w różnorodny sposób. Polski ustawodawca – na gruncie prawa cywilnego – przewiduje możliwość wzruszenia czynności prawnej w sytuacji spełnienia przesłanek ustawowych wyznaczonych przepisem art. 388 k.c. Wskazana regulacja posługuje się zwrotami nieostrymi, które posiadając pewną pojemność znaczeniową obejmują szerszą gamę zachowań niż </w:t>
      </w:r>
      <w:r w:rsidR="006663B1">
        <w:rPr>
          <w:sz w:val="24"/>
          <w:szCs w:val="24"/>
        </w:rPr>
        <w:t>mia</w:t>
      </w:r>
      <w:r w:rsidR="005771DF">
        <w:rPr>
          <w:sz w:val="24"/>
          <w:szCs w:val="24"/>
        </w:rPr>
        <w:t xml:space="preserve">łyby </w:t>
      </w:r>
      <w:r>
        <w:rPr>
          <w:sz w:val="24"/>
          <w:szCs w:val="24"/>
        </w:rPr>
        <w:t xml:space="preserve">dookreślone sformułowania, niepozostawiające miejsca na luzy interpretacyjne, a przez to sztywne w stosowaniu. Omawiany przepis wprowadza przesłanki subiektywne i obiektywne, które muszą zostać spełnione kumulatywnie, aby możliwe było zastosowanie przewidzianej przez ustawodawcę sankcji wzruszalności czynności prawnej. Praktyka pokazuje, że obecna </w:t>
      </w:r>
      <w:r w:rsidR="005771DF">
        <w:rPr>
          <w:sz w:val="24"/>
          <w:szCs w:val="24"/>
        </w:rPr>
        <w:t>wykładnia</w:t>
      </w:r>
      <w:r>
        <w:rPr>
          <w:sz w:val="24"/>
          <w:szCs w:val="24"/>
        </w:rPr>
        <w:t xml:space="preserve"> przesłanek wyzysku jest rygorystyczna, co utrudnia skuteczne powoływanie się na tę instytucję. Może to wynikać z założenia, że chociaż niedopuszczalne jest wyzyskiwanie słabości drugiej strony</w:t>
      </w:r>
      <w:r w:rsidR="005771DF">
        <w:rPr>
          <w:sz w:val="24"/>
          <w:szCs w:val="24"/>
        </w:rPr>
        <w:t>,</w:t>
      </w:r>
      <w:r>
        <w:rPr>
          <w:sz w:val="24"/>
          <w:szCs w:val="24"/>
        </w:rPr>
        <w:t xml:space="preserve"> to jednak powoływanie się na art. 388 k.c. nie może stanowić prostego sposobu na uwolnienie się od dbałości o własne sprawy. </w:t>
      </w:r>
    </w:p>
    <w:p w:rsidR="00A734CE" w:rsidRDefault="00B01B73" w:rsidP="0071146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Problemem ujawniającym się w doktrynie, rzadziej w judykaturze, jest dopuszczalność powołania się na wyzysk przez uczestników obrotu gospodarczego. W związku z wykonywaniem działalności gospodarczej przedsiębiorcom przypisuje się miernik staranności</w:t>
      </w:r>
      <w:r w:rsidR="00083B7B">
        <w:rPr>
          <w:sz w:val="24"/>
          <w:szCs w:val="24"/>
        </w:rPr>
        <w:t xml:space="preserve"> z art. 355 § 2 k.c</w:t>
      </w:r>
      <w:r>
        <w:rPr>
          <w:sz w:val="24"/>
          <w:szCs w:val="24"/>
        </w:rPr>
        <w:t xml:space="preserve">. Nie oznacza to jednak, że </w:t>
      </w:r>
      <w:r w:rsidR="002E4C4D">
        <w:rPr>
          <w:sz w:val="24"/>
          <w:szCs w:val="24"/>
        </w:rPr>
        <w:t>nie mają oni</w:t>
      </w:r>
      <w:r>
        <w:rPr>
          <w:sz w:val="24"/>
          <w:szCs w:val="24"/>
        </w:rPr>
        <w:t xml:space="preserve"> uprawnie</w:t>
      </w:r>
      <w:r w:rsidR="002E4C4D">
        <w:rPr>
          <w:sz w:val="24"/>
          <w:szCs w:val="24"/>
        </w:rPr>
        <w:t>ń do</w:t>
      </w:r>
      <w:r>
        <w:rPr>
          <w:sz w:val="24"/>
          <w:szCs w:val="24"/>
        </w:rPr>
        <w:t xml:space="preserve"> ochrony swojej sytuacji</w:t>
      </w:r>
      <w:r w:rsidR="002E4C4D">
        <w:rPr>
          <w:sz w:val="24"/>
          <w:szCs w:val="24"/>
        </w:rPr>
        <w:t xml:space="preserve"> za pomocą normy o wyzysku</w:t>
      </w:r>
      <w:r>
        <w:rPr>
          <w:sz w:val="24"/>
          <w:szCs w:val="24"/>
        </w:rPr>
        <w:t>. Krąg podmiotowy zastosowania przepisu art. 388 k.c. nie jest ograniczony, jak ma to miejsce np. w art. 358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§ 4 k.c. </w:t>
      </w:r>
      <w:r w:rsidR="002E4C4D">
        <w:rPr>
          <w:sz w:val="24"/>
          <w:szCs w:val="24"/>
        </w:rPr>
        <w:t>M</w:t>
      </w:r>
      <w:r>
        <w:rPr>
          <w:sz w:val="24"/>
          <w:szCs w:val="24"/>
        </w:rPr>
        <w:t xml:space="preserve">imo tego, zdawałoby się jasnego </w:t>
      </w:r>
      <w:r w:rsidR="0049692D">
        <w:rPr>
          <w:sz w:val="24"/>
          <w:szCs w:val="24"/>
        </w:rPr>
        <w:t>wniosku z</w:t>
      </w:r>
      <w:r>
        <w:rPr>
          <w:sz w:val="24"/>
          <w:szCs w:val="24"/>
        </w:rPr>
        <w:t xml:space="preserve"> zestawienia obu przepisów (art. 388 k.c. i art. 358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§ 4 k.c.), niektórzy komentatorzy postrzegają zagadnienie w odmienny sposób, odmawiając przedsiębiorcom - </w:t>
      </w:r>
      <w:r>
        <w:rPr>
          <w:sz w:val="24"/>
          <w:szCs w:val="24"/>
        </w:rPr>
        <w:lastRenderedPageBreak/>
        <w:t xml:space="preserve">zarówno osobom fizycznym, jak i osobom prawnym (oraz tzw. ułomnym osobom prawnym) - możliwości powołania się na art. 388 k.c. </w:t>
      </w:r>
    </w:p>
    <w:p w:rsidR="00B01B73" w:rsidRPr="00A844B2" w:rsidRDefault="00A734CE" w:rsidP="00D04626">
      <w:pPr>
        <w:spacing w:line="360" w:lineRule="auto"/>
        <w:ind w:firstLine="567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K</w:t>
      </w:r>
      <w:r w:rsidR="00B01B73">
        <w:rPr>
          <w:sz w:val="24"/>
          <w:szCs w:val="24"/>
        </w:rPr>
        <w:t>ompleksowa analiza zagadnienia wyzysku w porządku prawnym jest zasadna, za czym przemawia brak monograficznego opracowania. Cel pracy st</w:t>
      </w:r>
      <w:r w:rsidR="0085683C">
        <w:rPr>
          <w:sz w:val="24"/>
          <w:szCs w:val="24"/>
        </w:rPr>
        <w:t>anowi</w:t>
      </w:r>
      <w:r w:rsidR="00B01B73">
        <w:rPr>
          <w:sz w:val="24"/>
          <w:szCs w:val="24"/>
        </w:rPr>
        <w:t xml:space="preserve"> pogłębiona analiza wyzysku w polskim porządku prawnym, a w szczególności </w:t>
      </w:r>
      <w:r w:rsidR="00EC4088">
        <w:rPr>
          <w:sz w:val="24"/>
          <w:szCs w:val="24"/>
        </w:rPr>
        <w:t xml:space="preserve">jego </w:t>
      </w:r>
      <w:r w:rsidR="00B01B73">
        <w:rPr>
          <w:sz w:val="24"/>
          <w:szCs w:val="24"/>
        </w:rPr>
        <w:t>przesłan</w:t>
      </w:r>
      <w:r>
        <w:rPr>
          <w:sz w:val="24"/>
          <w:szCs w:val="24"/>
        </w:rPr>
        <w:t>e</w:t>
      </w:r>
      <w:r w:rsidR="00B01B73">
        <w:rPr>
          <w:sz w:val="24"/>
          <w:szCs w:val="24"/>
        </w:rPr>
        <w:t>k, skutk</w:t>
      </w:r>
      <w:r>
        <w:rPr>
          <w:sz w:val="24"/>
          <w:szCs w:val="24"/>
        </w:rPr>
        <w:t>ów</w:t>
      </w:r>
      <w:r w:rsidR="00B01B73">
        <w:rPr>
          <w:sz w:val="24"/>
          <w:szCs w:val="24"/>
        </w:rPr>
        <w:t xml:space="preserve"> prawn</w:t>
      </w:r>
      <w:r>
        <w:rPr>
          <w:sz w:val="24"/>
          <w:szCs w:val="24"/>
        </w:rPr>
        <w:t>ych</w:t>
      </w:r>
      <w:r w:rsidR="00B01B73">
        <w:rPr>
          <w:sz w:val="24"/>
          <w:szCs w:val="24"/>
        </w:rPr>
        <w:t xml:space="preserve"> oraz zasięg</w:t>
      </w:r>
      <w:r>
        <w:rPr>
          <w:sz w:val="24"/>
          <w:szCs w:val="24"/>
        </w:rPr>
        <w:t>u</w:t>
      </w:r>
      <w:r w:rsidR="00B01B73">
        <w:rPr>
          <w:sz w:val="24"/>
          <w:szCs w:val="24"/>
        </w:rPr>
        <w:t xml:space="preserve"> zastosowania. Główny problem badawczy ujęto w formie pytania: </w:t>
      </w:r>
      <w:r w:rsidR="00EC4088">
        <w:rPr>
          <w:sz w:val="24"/>
          <w:szCs w:val="24"/>
        </w:rPr>
        <w:t>c</w:t>
      </w:r>
      <w:r w:rsidR="00B01B73" w:rsidRPr="007F241A">
        <w:rPr>
          <w:sz w:val="24"/>
          <w:szCs w:val="24"/>
        </w:rPr>
        <w:t xml:space="preserve">zy przesłanki normatywne art. 388 k.c. pozwalają na jego zastosowanie do obrotu gospodarczego? W trakcie przygotowań rozprawy stosowano przede wszystkim metodę </w:t>
      </w:r>
      <w:r w:rsidR="00B01B73" w:rsidRPr="00F11677">
        <w:rPr>
          <w:sz w:val="24"/>
          <w:szCs w:val="24"/>
        </w:rPr>
        <w:t xml:space="preserve">dogmatyczną, </w:t>
      </w:r>
      <w:r w:rsidR="00EC4088">
        <w:rPr>
          <w:sz w:val="24"/>
          <w:szCs w:val="24"/>
        </w:rPr>
        <w:t>z uwzględnieniem zwłaszcza wykładni</w:t>
      </w:r>
      <w:r w:rsidR="00D04626">
        <w:rPr>
          <w:sz w:val="24"/>
          <w:szCs w:val="24"/>
        </w:rPr>
        <w:t xml:space="preserve"> funkcjonalnej (celów art. 388 k.c.), </w:t>
      </w:r>
      <w:r w:rsidR="00B01B73" w:rsidRPr="00F11677">
        <w:rPr>
          <w:sz w:val="24"/>
          <w:szCs w:val="24"/>
        </w:rPr>
        <w:t xml:space="preserve">poddając analizie teksty obowiązującego prawa, oraz metodę porównawczą, na podstawie której ustalono regulacje w zakresie wyzysku w wybranych państwach europejskiego porządku prawnego. </w:t>
      </w:r>
      <w:r w:rsidR="00B01B73" w:rsidRPr="00F11677">
        <w:rPr>
          <w:sz w:val="24"/>
          <w:szCs w:val="24"/>
          <w:lang w:eastAsia="pl-PL"/>
        </w:rPr>
        <w:t>Wykorzystywano</w:t>
      </w:r>
      <w:r w:rsidR="00B01B73" w:rsidRPr="00A844B2">
        <w:rPr>
          <w:sz w:val="24"/>
          <w:szCs w:val="24"/>
          <w:lang w:eastAsia="pl-PL"/>
        </w:rPr>
        <w:t xml:space="preserve"> również metodę historyczną, która pozwoliła ukazać ewolucję przepisów prawa cywilnego odnoszących się do instytucji wyzysku</w:t>
      </w:r>
      <w:r w:rsidR="003A00E7">
        <w:rPr>
          <w:sz w:val="24"/>
          <w:szCs w:val="24"/>
          <w:lang w:eastAsia="pl-PL"/>
        </w:rPr>
        <w:t xml:space="preserve">. </w:t>
      </w:r>
    </w:p>
    <w:p w:rsidR="00F47E68" w:rsidRDefault="00B01B73" w:rsidP="0071146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Rozprawa składa się z sześciu rozdziałów, wstępu i zakończenia zawierającego wnioski. W rozważaniach analizie poddano </w:t>
      </w:r>
      <w:r w:rsidR="00977867">
        <w:rPr>
          <w:sz w:val="24"/>
          <w:szCs w:val="24"/>
        </w:rPr>
        <w:t>normatywne ujęcia</w:t>
      </w:r>
      <w:r>
        <w:rPr>
          <w:sz w:val="24"/>
          <w:szCs w:val="24"/>
        </w:rPr>
        <w:t xml:space="preserve"> wyzysku w systemach prawa francuskiego, niemieckiego, austriackiego</w:t>
      </w:r>
      <w:r w:rsidR="0097786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szwajcarskiego. W dysertacji dokonano analizy pojęcia wyzysku, w tym jego przesłanek, co pozwoliło na postawienie tezy, że główn</w:t>
      </w:r>
      <w:r w:rsidR="002E0423">
        <w:rPr>
          <w:sz w:val="24"/>
          <w:szCs w:val="24"/>
        </w:rPr>
        <w:t>ą</w:t>
      </w:r>
      <w:r>
        <w:rPr>
          <w:sz w:val="24"/>
          <w:szCs w:val="24"/>
        </w:rPr>
        <w:t xml:space="preserve"> przesłanką, od której należałoby rozpoczynać badanie zaistnienia wyzysku</w:t>
      </w:r>
      <w:r w:rsidR="002E0423">
        <w:rPr>
          <w:sz w:val="24"/>
          <w:szCs w:val="24"/>
        </w:rPr>
        <w:t>,</w:t>
      </w:r>
      <w:r>
        <w:rPr>
          <w:sz w:val="24"/>
          <w:szCs w:val="24"/>
        </w:rPr>
        <w:t xml:space="preserve"> są subiektywne okoliczności zachodzące po stronie wyzyskanej. Pozostałe przesłanki również muszą zaistnieć, jednak sama dysproporcja wartości świadczeń, jeżeli wynika z autonomicznej, świadomej decyzji nie jest – co do zasady – piętnowana. </w:t>
      </w:r>
    </w:p>
    <w:p w:rsidR="00B01B73" w:rsidRDefault="00B01B73" w:rsidP="0071146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Rozważania poczynione w pracy pozwoliły dojść do przekonania, że mimo ukształtowania świadczeń w warunkach nie w pełni swobodnego powzięcia decyzji o złożeniu oświadczenia woli dochodzi między stronami do konsensusu, co sprawia</w:t>
      </w:r>
      <w:r w:rsidR="002135B6">
        <w:rPr>
          <w:sz w:val="24"/>
          <w:szCs w:val="24"/>
        </w:rPr>
        <w:t>,</w:t>
      </w:r>
      <w:r>
        <w:rPr>
          <w:sz w:val="24"/>
          <w:szCs w:val="24"/>
        </w:rPr>
        <w:t xml:space="preserve"> że zawarta zostaje umowa, która z samego faktu wyzyskania niekorzystnej sytuacji drugiej strony nie jest nieważna, a tylko wzruszalna, gdyż stronie przysługuje roszczenie o wyrównanie wartości świadczeń lub unieważnienie umowy. W pracy stwierdzono, że forma umowy, jak i tryb jej zawarcia, nie mają wpływu na zaistnienie przesłanek wyzysku.  </w:t>
      </w:r>
    </w:p>
    <w:p w:rsidR="00B01B73" w:rsidRDefault="00B01B73" w:rsidP="0071146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Szczegółowa analiza przesłanek obiektywnych i subiektywnych wyzysku doprowadziła m.in. do następujących wniosków: wszystkie przesłanki muszą występować w chwili zawierania umowy, przesłanka dysproporcji</w:t>
      </w:r>
      <w:r w:rsidRPr="00222743">
        <w:rPr>
          <w:sz w:val="24"/>
          <w:szCs w:val="24"/>
        </w:rPr>
        <w:t xml:space="preserve"> świadczeń </w:t>
      </w:r>
      <w:r>
        <w:rPr>
          <w:sz w:val="24"/>
          <w:szCs w:val="24"/>
        </w:rPr>
        <w:t xml:space="preserve">nie musi przyjmować wyłącznie postaci </w:t>
      </w:r>
      <w:r w:rsidR="002135B6">
        <w:rPr>
          <w:sz w:val="24"/>
          <w:szCs w:val="24"/>
        </w:rPr>
        <w:t>majątk</w:t>
      </w:r>
      <w:r>
        <w:rPr>
          <w:sz w:val="24"/>
          <w:szCs w:val="24"/>
        </w:rPr>
        <w:t>owej (</w:t>
      </w:r>
      <w:r w:rsidRPr="00222743">
        <w:rPr>
          <w:sz w:val="24"/>
          <w:szCs w:val="24"/>
        </w:rPr>
        <w:t>może</w:t>
      </w:r>
      <w:r>
        <w:rPr>
          <w:sz w:val="24"/>
          <w:szCs w:val="24"/>
        </w:rPr>
        <w:t xml:space="preserve"> przejawiać się w innych aspektach) oraz nie musi dotyczyć </w:t>
      </w:r>
      <w:r>
        <w:rPr>
          <w:sz w:val="24"/>
          <w:szCs w:val="24"/>
        </w:rPr>
        <w:lastRenderedPageBreak/>
        <w:t xml:space="preserve">głównych świadczeń stron, przesłanki subiektywne (przymusowe położenie, niedołęstwo oraz niedoświadczenie) stanowią zwroty nieostre, przez co zapewniają elastyczność i </w:t>
      </w:r>
      <w:r w:rsidR="002135B6">
        <w:rPr>
          <w:sz w:val="24"/>
          <w:szCs w:val="24"/>
        </w:rPr>
        <w:t xml:space="preserve">możliwie </w:t>
      </w:r>
      <w:r>
        <w:rPr>
          <w:sz w:val="24"/>
          <w:szCs w:val="24"/>
        </w:rPr>
        <w:t xml:space="preserve">szeroki zakres </w:t>
      </w:r>
      <w:r w:rsidR="002135B6">
        <w:rPr>
          <w:sz w:val="24"/>
          <w:szCs w:val="24"/>
        </w:rPr>
        <w:t xml:space="preserve">stosowania </w:t>
      </w:r>
      <w:r>
        <w:rPr>
          <w:sz w:val="24"/>
          <w:szCs w:val="24"/>
        </w:rPr>
        <w:t>przepisu art. 388 k.c.</w:t>
      </w:r>
      <w:r w:rsidR="002135B6">
        <w:rPr>
          <w:sz w:val="24"/>
          <w:szCs w:val="24"/>
        </w:rPr>
        <w:t xml:space="preserve">; inna rzecz, jak rozumie je praktyka sądowa. </w:t>
      </w:r>
    </w:p>
    <w:p w:rsidR="00B01B73" w:rsidRPr="00F11677" w:rsidRDefault="00B01B73" w:rsidP="0071146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Pogłębion</w:t>
      </w:r>
      <w:r w:rsidR="002135B6">
        <w:rPr>
          <w:sz w:val="24"/>
          <w:szCs w:val="24"/>
        </w:rPr>
        <w:t>y wywód</w:t>
      </w:r>
      <w:r>
        <w:rPr>
          <w:sz w:val="24"/>
          <w:szCs w:val="24"/>
        </w:rPr>
        <w:t xml:space="preserve"> poświęcon</w:t>
      </w:r>
      <w:r w:rsidR="002135B6">
        <w:rPr>
          <w:sz w:val="24"/>
          <w:szCs w:val="24"/>
        </w:rPr>
        <w:t>o</w:t>
      </w:r>
      <w:r>
        <w:rPr>
          <w:sz w:val="24"/>
          <w:szCs w:val="24"/>
        </w:rPr>
        <w:t xml:space="preserve"> prawnym konsekwencjom wyzysku. </w:t>
      </w:r>
      <w:r w:rsidR="00002679">
        <w:rPr>
          <w:sz w:val="24"/>
          <w:szCs w:val="24"/>
        </w:rPr>
        <w:t>C</w:t>
      </w:r>
      <w:r>
        <w:rPr>
          <w:sz w:val="24"/>
          <w:szCs w:val="24"/>
        </w:rPr>
        <w:t xml:space="preserve">zynność prawna obarczona wyzyskiem nie jest bezwzględnie nieważna, a jedynie dotknięta sankcją wzruszalności. Wyzyskanemu przysługuje uprawnienie żądania wyrównania wartości świadczeń lub </w:t>
      </w:r>
      <w:r w:rsidRPr="00F11677">
        <w:rPr>
          <w:sz w:val="24"/>
          <w:szCs w:val="24"/>
        </w:rPr>
        <w:t xml:space="preserve">unieważnienia umowy, które nie może być traktowane jako uprawnienie kształtujące. Wyzyskany nie ma uprawnienia do jednostronnego wpływania na treść (kształt) stosunku prawnego, lecz może jedynie żądać jego zmiany. </w:t>
      </w:r>
    </w:p>
    <w:p w:rsidR="00B01B73" w:rsidRDefault="00B01B73" w:rsidP="006E749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w rozprawie podjęto rozstrzygnięcie charakteru prawnego wyzysku. Przeprowadzano rozważania nad zjawiskiem wyzysku jako wady oświadczenia woli, </w:t>
      </w:r>
      <w:r w:rsidRPr="006E7493">
        <w:rPr>
          <w:sz w:val="24"/>
          <w:szCs w:val="24"/>
        </w:rPr>
        <w:t>delikt</w:t>
      </w:r>
      <w:r>
        <w:rPr>
          <w:sz w:val="24"/>
          <w:szCs w:val="24"/>
        </w:rPr>
        <w:t>u</w:t>
      </w:r>
      <w:r w:rsidRPr="006E7493">
        <w:rPr>
          <w:sz w:val="24"/>
          <w:szCs w:val="24"/>
        </w:rPr>
        <w:t xml:space="preserve"> prawa cywilnego</w:t>
      </w:r>
      <w:r>
        <w:rPr>
          <w:sz w:val="24"/>
          <w:szCs w:val="24"/>
        </w:rPr>
        <w:t xml:space="preserve">, </w:t>
      </w:r>
      <w:r w:rsidRPr="006E7493">
        <w:rPr>
          <w:sz w:val="24"/>
          <w:szCs w:val="24"/>
        </w:rPr>
        <w:t>niedo</w:t>
      </w:r>
      <w:r>
        <w:rPr>
          <w:sz w:val="24"/>
          <w:szCs w:val="24"/>
        </w:rPr>
        <w:t>zwolonej treści czynności prawnej, ograniczenia</w:t>
      </w:r>
      <w:r w:rsidRPr="006E7493">
        <w:rPr>
          <w:sz w:val="24"/>
          <w:szCs w:val="24"/>
        </w:rPr>
        <w:t xml:space="preserve"> zasady swobody umów</w:t>
      </w:r>
      <w:r>
        <w:rPr>
          <w:sz w:val="24"/>
          <w:szCs w:val="24"/>
        </w:rPr>
        <w:t>, niedozwolonego postanowienia</w:t>
      </w:r>
      <w:r w:rsidRPr="006E7493">
        <w:rPr>
          <w:sz w:val="24"/>
          <w:szCs w:val="24"/>
        </w:rPr>
        <w:t xml:space="preserve"> umowne</w:t>
      </w:r>
      <w:r>
        <w:rPr>
          <w:sz w:val="24"/>
          <w:szCs w:val="24"/>
        </w:rPr>
        <w:t>go oraz w kontekście wygórowanych</w:t>
      </w:r>
      <w:r w:rsidRPr="006E7493">
        <w:rPr>
          <w:sz w:val="24"/>
          <w:szCs w:val="24"/>
        </w:rPr>
        <w:t xml:space="preserve"> odset</w:t>
      </w:r>
      <w:r>
        <w:rPr>
          <w:sz w:val="24"/>
          <w:szCs w:val="24"/>
        </w:rPr>
        <w:t>e</w:t>
      </w:r>
      <w:r w:rsidRPr="006E7493">
        <w:rPr>
          <w:sz w:val="24"/>
          <w:szCs w:val="24"/>
        </w:rPr>
        <w:t>k</w:t>
      </w:r>
      <w:r>
        <w:rPr>
          <w:sz w:val="24"/>
          <w:szCs w:val="24"/>
        </w:rPr>
        <w:t xml:space="preserve">. Przeprowadzone badania pozwoliły dojść do konkluzji, że wyzysk jest wadą oświadczenia woli. </w:t>
      </w:r>
    </w:p>
    <w:p w:rsidR="00B01B73" w:rsidRDefault="00B01B73" w:rsidP="00F8727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Ostatni fragment pracy koncentruje się nad dopuszczalnością powoływania się na wyzysk przez przedsiębiorców. W celu rozstrzygnięcia tej kwestii scharakteryzowano uczestnictwo podmiotów prawa cywilnego w poszczególnych </w:t>
      </w:r>
      <w:r w:rsidR="009349BA">
        <w:rPr>
          <w:sz w:val="24"/>
          <w:szCs w:val="24"/>
        </w:rPr>
        <w:t xml:space="preserve">rodzajach </w:t>
      </w:r>
      <w:r>
        <w:rPr>
          <w:sz w:val="24"/>
          <w:szCs w:val="24"/>
        </w:rPr>
        <w:t>obrot</w:t>
      </w:r>
      <w:r w:rsidR="009349BA">
        <w:rPr>
          <w:sz w:val="24"/>
          <w:szCs w:val="24"/>
        </w:rPr>
        <w:t>u</w:t>
      </w:r>
      <w:r>
        <w:rPr>
          <w:sz w:val="24"/>
          <w:szCs w:val="24"/>
        </w:rPr>
        <w:t xml:space="preserve"> gospodarcz</w:t>
      </w:r>
      <w:r w:rsidR="009349BA">
        <w:rPr>
          <w:sz w:val="24"/>
          <w:szCs w:val="24"/>
        </w:rPr>
        <w:t>ego:</w:t>
      </w:r>
      <w:r>
        <w:rPr>
          <w:sz w:val="24"/>
          <w:szCs w:val="24"/>
        </w:rPr>
        <w:t xml:space="preserve"> dwustronnie profesjonalnym, konsumenckim oraz powszechnym. W odniesieniu do osób prawnych oraz tzw. ułomnych osób prawnych powołano się na teorię organów (art. 38 k.c.), która doprowadziła do przekonania, że również osoby prawne, a także jednostki organizacyjne wyposażone tylko w zdolność prawną, mogą zawrzeć umowę nacechowaną wyzyskiem. Postawioną tezę uzasadnia fakt, że członk</w:t>
      </w:r>
      <w:r w:rsidR="00DF4C23">
        <w:rPr>
          <w:sz w:val="24"/>
          <w:szCs w:val="24"/>
        </w:rPr>
        <w:t>owie</w:t>
      </w:r>
      <w:r>
        <w:rPr>
          <w:sz w:val="24"/>
          <w:szCs w:val="24"/>
        </w:rPr>
        <w:t xml:space="preserve"> organów mogą znajdować się w przymusowym położeniu, </w:t>
      </w:r>
      <w:r w:rsidR="00DF4C23">
        <w:rPr>
          <w:sz w:val="24"/>
          <w:szCs w:val="24"/>
        </w:rPr>
        <w:t xml:space="preserve">cechować </w:t>
      </w:r>
      <w:r>
        <w:rPr>
          <w:sz w:val="24"/>
          <w:szCs w:val="24"/>
        </w:rPr>
        <w:t>niedołęstwe</w:t>
      </w:r>
      <w:r w:rsidR="00DF4C23">
        <w:rPr>
          <w:sz w:val="24"/>
          <w:szCs w:val="24"/>
        </w:rPr>
        <w:t>m</w:t>
      </w:r>
      <w:r>
        <w:rPr>
          <w:sz w:val="24"/>
          <w:szCs w:val="24"/>
        </w:rPr>
        <w:t xml:space="preserve"> lub niedoświadczeni</w:t>
      </w:r>
      <w:r w:rsidR="00DF4C23">
        <w:rPr>
          <w:sz w:val="24"/>
          <w:szCs w:val="24"/>
        </w:rPr>
        <w:t>em</w:t>
      </w:r>
      <w:r>
        <w:rPr>
          <w:sz w:val="24"/>
          <w:szCs w:val="24"/>
        </w:rPr>
        <w:t xml:space="preserve">. </w:t>
      </w:r>
    </w:p>
    <w:p w:rsidR="00B01B73" w:rsidRDefault="00B01B73" w:rsidP="00B61D87">
      <w:pPr>
        <w:spacing w:line="360" w:lineRule="auto"/>
        <w:ind w:firstLine="567"/>
        <w:jc w:val="both"/>
      </w:pPr>
      <w:r>
        <w:rPr>
          <w:sz w:val="24"/>
          <w:szCs w:val="24"/>
        </w:rPr>
        <w:t xml:space="preserve">W pracy zaproponowano postulaty </w:t>
      </w:r>
      <w:r w:rsidRPr="002B2A22">
        <w:rPr>
          <w:i/>
          <w:sz w:val="24"/>
          <w:szCs w:val="24"/>
        </w:rPr>
        <w:t>de lege ferenda</w:t>
      </w:r>
      <w:r>
        <w:rPr>
          <w:sz w:val="24"/>
          <w:szCs w:val="24"/>
        </w:rPr>
        <w:t>, które zmierzają do uczynienia łatwiejszym zastosowani</w:t>
      </w:r>
      <w:r w:rsidR="00FE465C">
        <w:rPr>
          <w:sz w:val="24"/>
          <w:szCs w:val="24"/>
        </w:rPr>
        <w:t>a</w:t>
      </w:r>
      <w:r>
        <w:rPr>
          <w:sz w:val="24"/>
          <w:szCs w:val="24"/>
        </w:rPr>
        <w:t xml:space="preserve"> przepisu art. 388 k.c., a tym samym w większym stopniu zachowania materialnej równo</w:t>
      </w:r>
      <w:r w:rsidR="003E4208">
        <w:rPr>
          <w:sz w:val="24"/>
          <w:szCs w:val="24"/>
        </w:rPr>
        <w:t>ści</w:t>
      </w:r>
      <w:r>
        <w:rPr>
          <w:sz w:val="24"/>
          <w:szCs w:val="24"/>
        </w:rPr>
        <w:t xml:space="preserve"> podmiotów obrotu cywilnoprawnego.</w:t>
      </w:r>
    </w:p>
    <w:sectPr w:rsidR="00B01B73" w:rsidSect="0058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1FB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ej Kaliński">
    <w15:presenceInfo w15:providerId="Windows Live" w15:userId="d39cfa67e61ba6d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64C4"/>
    <w:rsid w:val="00002679"/>
    <w:rsid w:val="00015B81"/>
    <w:rsid w:val="00081887"/>
    <w:rsid w:val="00083B7B"/>
    <w:rsid w:val="001B55E1"/>
    <w:rsid w:val="002135B6"/>
    <w:rsid w:val="00222743"/>
    <w:rsid w:val="00242C1C"/>
    <w:rsid w:val="002874AB"/>
    <w:rsid w:val="002900D7"/>
    <w:rsid w:val="002B2A22"/>
    <w:rsid w:val="002E0423"/>
    <w:rsid w:val="002E4C4D"/>
    <w:rsid w:val="002F6774"/>
    <w:rsid w:val="00385A88"/>
    <w:rsid w:val="003A00E7"/>
    <w:rsid w:val="003B33A7"/>
    <w:rsid w:val="003C1022"/>
    <w:rsid w:val="003D042F"/>
    <w:rsid w:val="003E4208"/>
    <w:rsid w:val="0043297D"/>
    <w:rsid w:val="00442A17"/>
    <w:rsid w:val="00474D58"/>
    <w:rsid w:val="00481594"/>
    <w:rsid w:val="0049692D"/>
    <w:rsid w:val="004E0EA7"/>
    <w:rsid w:val="005771DF"/>
    <w:rsid w:val="005824C7"/>
    <w:rsid w:val="005B0A60"/>
    <w:rsid w:val="005C6FFA"/>
    <w:rsid w:val="00624D39"/>
    <w:rsid w:val="00635514"/>
    <w:rsid w:val="006663B1"/>
    <w:rsid w:val="00682629"/>
    <w:rsid w:val="006E7493"/>
    <w:rsid w:val="0071146B"/>
    <w:rsid w:val="007E5A08"/>
    <w:rsid w:val="007F241A"/>
    <w:rsid w:val="00834D5B"/>
    <w:rsid w:val="0085683C"/>
    <w:rsid w:val="00864A12"/>
    <w:rsid w:val="008C057B"/>
    <w:rsid w:val="008C2AF6"/>
    <w:rsid w:val="008D4864"/>
    <w:rsid w:val="008F64C4"/>
    <w:rsid w:val="009349BA"/>
    <w:rsid w:val="00977867"/>
    <w:rsid w:val="009A0C4C"/>
    <w:rsid w:val="009F218A"/>
    <w:rsid w:val="00A03956"/>
    <w:rsid w:val="00A2625A"/>
    <w:rsid w:val="00A734CE"/>
    <w:rsid w:val="00A76A70"/>
    <w:rsid w:val="00A844B2"/>
    <w:rsid w:val="00B01B73"/>
    <w:rsid w:val="00B61D87"/>
    <w:rsid w:val="00BE45EA"/>
    <w:rsid w:val="00C86B41"/>
    <w:rsid w:val="00CC1C9A"/>
    <w:rsid w:val="00D0300B"/>
    <w:rsid w:val="00D0335A"/>
    <w:rsid w:val="00D04626"/>
    <w:rsid w:val="00D733AF"/>
    <w:rsid w:val="00DF4C23"/>
    <w:rsid w:val="00E0574C"/>
    <w:rsid w:val="00EC4088"/>
    <w:rsid w:val="00EC549E"/>
    <w:rsid w:val="00F0230F"/>
    <w:rsid w:val="00F11677"/>
    <w:rsid w:val="00F47E68"/>
    <w:rsid w:val="00F87279"/>
    <w:rsid w:val="00FE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46B"/>
    <w:pPr>
      <w:spacing w:after="200" w:line="276" w:lineRule="auto"/>
    </w:pPr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A12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12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46B"/>
    <w:pPr>
      <w:spacing w:after="200" w:line="276" w:lineRule="auto"/>
    </w:pPr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A12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12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Streszczenie</vt:lpstr>
    </vt:vector>
  </TitlesOfParts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Streszczenie</dc:title>
  <dc:creator>dell</dc:creator>
  <cp:lastModifiedBy>ADS</cp:lastModifiedBy>
  <cp:revision>2</cp:revision>
  <cp:lastPrinted>2016-09-09T07:31:00Z</cp:lastPrinted>
  <dcterms:created xsi:type="dcterms:W3CDTF">2017-03-20T09:49:00Z</dcterms:created>
  <dcterms:modified xsi:type="dcterms:W3CDTF">2017-03-20T09:49:00Z</dcterms:modified>
</cp:coreProperties>
</file>