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18D4" w14:textId="395789F6" w:rsidR="002112EF" w:rsidRPr="002112EF" w:rsidRDefault="002112EF" w:rsidP="002112EF">
      <w:pPr>
        <w:spacing w:line="36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2EF">
        <w:rPr>
          <w:rFonts w:ascii="Times New Roman" w:hAnsi="Times New Roman" w:cs="Times New Roman"/>
          <w:b/>
          <w:bCs/>
          <w:sz w:val="24"/>
          <w:szCs w:val="24"/>
        </w:rPr>
        <w:t>Postępowanie karne</w:t>
      </w:r>
    </w:p>
    <w:p w14:paraId="036EF7C0" w14:textId="6F5F900D" w:rsidR="008E0656" w:rsidRPr="00CA391E" w:rsidRDefault="008E0656" w:rsidP="00CA39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Formy procesu karnego</w:t>
      </w:r>
    </w:p>
    <w:p w14:paraId="5861814C" w14:textId="77777777" w:rsidR="008E0656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Podstawowe zasady procesu karnego.</w:t>
      </w:r>
    </w:p>
    <w:p w14:paraId="76E8905B" w14:textId="2F047ACA" w:rsidR="00F34158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Pojęcie, rola i znaczenie przesłanek procesowych. </w:t>
      </w:r>
    </w:p>
    <w:p w14:paraId="1EB436C9" w14:textId="77777777" w:rsidR="008E0656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Przesłanki wyłączenia sędziego. </w:t>
      </w:r>
    </w:p>
    <w:p w14:paraId="710BC6DC" w14:textId="15957A55" w:rsidR="009C7C16" w:rsidRPr="00556724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Strony postępowania przygotowawczego</w:t>
      </w:r>
    </w:p>
    <w:p w14:paraId="2282BCE3" w14:textId="587F2A4E" w:rsidR="009C7C16" w:rsidRPr="00556724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Strony postępowania  jurysdykcyjnego</w:t>
      </w:r>
    </w:p>
    <w:p w14:paraId="5C735DF2" w14:textId="50E7ED32" w:rsidR="009C7C16" w:rsidRPr="00556724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Procesowi przedstawiciele stron</w:t>
      </w:r>
    </w:p>
    <w:p w14:paraId="286F5EF6" w14:textId="28055E9F" w:rsidR="008E0656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Prawa i obowiązki oskarżonego. </w:t>
      </w:r>
    </w:p>
    <w:p w14:paraId="178103A4" w14:textId="1EA4F352" w:rsidR="008E0656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Prawa i obowiązki pokrzywdzonego. </w:t>
      </w:r>
    </w:p>
    <w:p w14:paraId="39174218" w14:textId="1279A027" w:rsidR="00E34869" w:rsidRPr="00556724" w:rsidRDefault="00E34869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i obowiązki świadka</w:t>
      </w:r>
    </w:p>
    <w:p w14:paraId="23F1C2BB" w14:textId="77777777" w:rsidR="008E0656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Charakterystyka orzeczeń, zarządzeń i poleceń. </w:t>
      </w:r>
    </w:p>
    <w:p w14:paraId="77C5BFE5" w14:textId="77777777" w:rsidR="008E0656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Charakterystyka terminów procesowych. </w:t>
      </w:r>
    </w:p>
    <w:p w14:paraId="56EA29A4" w14:textId="77777777" w:rsidR="008E0656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Formy dokumentowania czynności procesowych. </w:t>
      </w:r>
    </w:p>
    <w:p w14:paraId="5FDFA12A" w14:textId="52F6D8E3" w:rsidR="00077817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Pojęcie i rodzaje dowodów w postępowaniu karnym. </w:t>
      </w:r>
    </w:p>
    <w:p w14:paraId="62EB509C" w14:textId="3DF65B78" w:rsidR="00F34158" w:rsidRPr="00556724" w:rsidRDefault="00F34158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Wprowadzanie dowodów do procesu karnego</w:t>
      </w:r>
    </w:p>
    <w:p w14:paraId="530CAA49" w14:textId="77777777" w:rsidR="00077817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Dowód z zeznań świadka i wyjaśnień oskarżonego. </w:t>
      </w:r>
    </w:p>
    <w:p w14:paraId="00AA21B8" w14:textId="77777777" w:rsidR="00077817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Metodyka przesłuchania w świetle przepisów k.p.k. </w:t>
      </w:r>
    </w:p>
    <w:p w14:paraId="1E476E07" w14:textId="77777777" w:rsidR="00077817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Pojęcie dowodu naukowego i jego znaczenie. </w:t>
      </w:r>
    </w:p>
    <w:p w14:paraId="16AAFFD4" w14:textId="77777777" w:rsidR="00077817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Procesowa instytucja biegłego, zasady powoływania biegłych i wymogi opinii. </w:t>
      </w:r>
    </w:p>
    <w:p w14:paraId="169A30F3" w14:textId="77777777" w:rsidR="00077817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Oględziny jako czynność procesowa (rodzaje, zasady przeprowadzania).</w:t>
      </w:r>
    </w:p>
    <w:p w14:paraId="44BEA144" w14:textId="77777777" w:rsidR="00077817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Charakterystyka i przebieg eksperymentu procesowego. </w:t>
      </w:r>
    </w:p>
    <w:p w14:paraId="09C25357" w14:textId="77777777" w:rsidR="00077817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Okazanie – rodzaje, charakterystyka i zasady przeprowadzania. </w:t>
      </w:r>
    </w:p>
    <w:p w14:paraId="5EEF0FD6" w14:textId="77777777" w:rsidR="00A6164C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Konfrontacja jako szczególna forma przesłuchania. </w:t>
      </w:r>
    </w:p>
    <w:p w14:paraId="31514806" w14:textId="77777777" w:rsidR="00A6164C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Charakterystyka i przebieg przeszukania.</w:t>
      </w:r>
    </w:p>
    <w:p w14:paraId="01CC481C" w14:textId="10E2D1BB" w:rsidR="00A6164C" w:rsidRPr="00556724" w:rsidRDefault="008E065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Środki zapobiegawcze i ich charakterystyka. </w:t>
      </w:r>
    </w:p>
    <w:p w14:paraId="6894B8B1" w14:textId="7D01E4A4" w:rsidR="009C7C16" w:rsidRPr="00556724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Tymczasowe aresztowanie</w:t>
      </w:r>
    </w:p>
    <w:p w14:paraId="4CCA73FC" w14:textId="63EEA4B4" w:rsidR="009C7C16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 xml:space="preserve">Nieizolacyjne środki zapobiegawcze </w:t>
      </w:r>
    </w:p>
    <w:p w14:paraId="5531862D" w14:textId="7D9FC868" w:rsidR="00E64B4E" w:rsidRPr="00556724" w:rsidRDefault="00E64B4E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majątkowe</w:t>
      </w:r>
    </w:p>
    <w:p w14:paraId="33C0D1FD" w14:textId="5267E9F3" w:rsidR="009C7C16" w:rsidRPr="00556724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Kary porządkowe</w:t>
      </w:r>
    </w:p>
    <w:p w14:paraId="7786E0DF" w14:textId="4877713F" w:rsidR="009C7C16" w:rsidRPr="00556724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Wszczęcie postępowania przygotowawczego</w:t>
      </w:r>
    </w:p>
    <w:p w14:paraId="4141A056" w14:textId="77777777" w:rsidR="009C7C16" w:rsidRPr="00556724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Formy postępowania przygotowawczego</w:t>
      </w:r>
    </w:p>
    <w:p w14:paraId="294056D4" w14:textId="7146F134" w:rsidR="009C7C16" w:rsidRPr="00556724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Rola sądu w stadium postępowania przygotowawczego</w:t>
      </w:r>
    </w:p>
    <w:p w14:paraId="49A03B8C" w14:textId="62F1858B" w:rsidR="009C7C16" w:rsidRPr="00556724" w:rsidRDefault="009C7C16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lastRenderedPageBreak/>
        <w:t>Skarga zasadnicza – akt oskarżenia i jego znaczenie</w:t>
      </w:r>
    </w:p>
    <w:p w14:paraId="669D167C" w14:textId="5EE0FEB2" w:rsidR="00F34158" w:rsidRPr="00556724" w:rsidRDefault="00F34158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Formalna i merytoryczna kontrola oskarżenia</w:t>
      </w:r>
    </w:p>
    <w:p w14:paraId="4A331997" w14:textId="4663FC73" w:rsidR="009C7C16" w:rsidRPr="00556724" w:rsidRDefault="00F34158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Część wstępna rozprawy głównej</w:t>
      </w:r>
    </w:p>
    <w:p w14:paraId="5A080A86" w14:textId="659BD9CC" w:rsidR="00F34158" w:rsidRDefault="00F34158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4">
        <w:rPr>
          <w:rFonts w:ascii="Times New Roman" w:hAnsi="Times New Roman" w:cs="Times New Roman"/>
          <w:sz w:val="24"/>
          <w:szCs w:val="24"/>
        </w:rPr>
        <w:t>Przewód sądowy</w:t>
      </w:r>
    </w:p>
    <w:p w14:paraId="26FF5BED" w14:textId="6DC8D3FA" w:rsidR="000D1EFC" w:rsidRPr="00556724" w:rsidRDefault="00805BE8" w:rsidP="00211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narady sędziowskiej, głosowanie i sporządzanie wyroku</w:t>
      </w:r>
    </w:p>
    <w:p w14:paraId="656EFA1F" w14:textId="77E59338" w:rsidR="002112EF" w:rsidRPr="002112EF" w:rsidRDefault="002112EF" w:rsidP="002112E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112EF">
        <w:rPr>
          <w:rFonts w:ascii="Times New Roman" w:hAnsi="Times New Roman" w:cs="Times New Roman"/>
          <w:b/>
          <w:bCs/>
          <w:sz w:val="24"/>
          <w:szCs w:val="24"/>
        </w:rPr>
        <w:t>Prawo karne wykonawcze</w:t>
      </w:r>
    </w:p>
    <w:p w14:paraId="3D4DB9DD" w14:textId="77777777" w:rsidR="002112EF" w:rsidRDefault="002112EF" w:rsidP="002112EF">
      <w:pPr>
        <w:spacing w:after="0" w:line="240" w:lineRule="auto"/>
        <w:ind w:left="360"/>
      </w:pPr>
    </w:p>
    <w:p w14:paraId="3DFB3C96" w14:textId="3460176A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Skazany i jego status w postępowaniu karnym wykonawczym</w:t>
      </w:r>
    </w:p>
    <w:p w14:paraId="6A500BF3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Prawa skazanego odbywającego karę pozbawienia wolności</w:t>
      </w:r>
    </w:p>
    <w:p w14:paraId="1BE751BB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Obowiązki skazanego odbywającego karę pozbawienia wolności</w:t>
      </w:r>
    </w:p>
    <w:p w14:paraId="14372E5B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Uczestnicy postępowania karnego wykonawczego</w:t>
      </w:r>
    </w:p>
    <w:p w14:paraId="23FA0E1C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 xml:space="preserve">Organy postępowania  karnego wykonawczego </w:t>
      </w:r>
    </w:p>
    <w:p w14:paraId="4AFC12BA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Wszczęcie postępowania wykonawczego</w:t>
      </w:r>
    </w:p>
    <w:p w14:paraId="43673925" w14:textId="3FB6C09D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Wykonalność orzeczenia, a prawomocność</w:t>
      </w:r>
    </w:p>
    <w:p w14:paraId="6A081688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Zawieszenie postępowania karnego wykonawczego</w:t>
      </w:r>
    </w:p>
    <w:p w14:paraId="5355544B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Umorzenie postępowania  ( ujemne przesłanki postępowania )</w:t>
      </w:r>
    </w:p>
    <w:p w14:paraId="0B8FA8E0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Zwykłe środki zaskarżenia decyzji wydanych w postępowaniu wykonawczym</w:t>
      </w:r>
    </w:p>
    <w:p w14:paraId="214E54DF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Nadzwyczajne środki zaskarżenia decyzji wydanych w postępowaniu wykonawczym</w:t>
      </w:r>
    </w:p>
    <w:p w14:paraId="551AAB07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Wzruszanie postanowień w trybie art.24 k.k.w.</w:t>
      </w:r>
    </w:p>
    <w:p w14:paraId="7B201856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Nadzór penitencjarny</w:t>
      </w:r>
    </w:p>
    <w:p w14:paraId="1952918F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Wykonywanie kary grzywny</w:t>
      </w:r>
    </w:p>
    <w:p w14:paraId="0FA6C73C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Odroczenie kary grzywny</w:t>
      </w:r>
    </w:p>
    <w:p w14:paraId="0C3609B0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Rozłożenie na raty kary grzywny</w:t>
      </w:r>
    </w:p>
    <w:p w14:paraId="101E63F5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Wykonywanie kary ograniczenia wolności</w:t>
      </w:r>
    </w:p>
    <w:p w14:paraId="78ED5843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Podmioty uczestniczące w wykonywaniu kary ograniczenia wolności</w:t>
      </w:r>
    </w:p>
    <w:p w14:paraId="445FED43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Przerwa w wykonaniu kary ograniczenia wolności</w:t>
      </w:r>
    </w:p>
    <w:p w14:paraId="2F1E04F9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Odroczenie wykonania kary ograniczenia wolności</w:t>
      </w:r>
    </w:p>
    <w:p w14:paraId="2DB191EF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Zamiana kary ograniczenia wolności na karę zastępczą</w:t>
      </w:r>
    </w:p>
    <w:p w14:paraId="103850A0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Pojęcie i zakres nadzoru sądowego nad wykonywaniem kary z zastosowaniem dozoru elektronicznego</w:t>
      </w:r>
    </w:p>
    <w:p w14:paraId="5B79B296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Rodzaje  zakładów karnych</w:t>
      </w:r>
    </w:p>
    <w:p w14:paraId="66C501A0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Typy zakładów karnych</w:t>
      </w:r>
    </w:p>
    <w:p w14:paraId="2EDC4EDD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Systemy wykonywania kary pozbawienia wolności</w:t>
      </w:r>
    </w:p>
    <w:p w14:paraId="54CA31CD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Klasyfikacja skazanych</w:t>
      </w:r>
    </w:p>
    <w:p w14:paraId="6BE5642E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lastRenderedPageBreak/>
        <w:t>Ustawowe kryteria klasyfikacji skazanych</w:t>
      </w:r>
    </w:p>
    <w:p w14:paraId="5A412954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Badania osobopoznawcze w postępowaniu karnym wykonawczym</w:t>
      </w:r>
    </w:p>
    <w:p w14:paraId="10DB55A8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Środki oddziaływania penitencjarnego</w:t>
      </w:r>
    </w:p>
    <w:p w14:paraId="4971D536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Ulgi i nagrodowy stosowane wobec skazanych odbywających karę pozbawienia wolności</w:t>
      </w:r>
    </w:p>
    <w:p w14:paraId="2F0D67E3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Odroczenie wykonania kary pozbawienia wolności,</w:t>
      </w:r>
    </w:p>
    <w:p w14:paraId="30573F31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Przerwa w wykonaniu kary ograniczenia wolności</w:t>
      </w:r>
    </w:p>
    <w:p w14:paraId="1E1FF878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Pomoc postpenitencjarna</w:t>
      </w:r>
    </w:p>
    <w:p w14:paraId="4B8BD9E0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Uznanie środka karnego za wykonany</w:t>
      </w:r>
    </w:p>
    <w:p w14:paraId="257D3C03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Rozdaje środków probacyjnych</w:t>
      </w:r>
    </w:p>
    <w:p w14:paraId="5074122F" w14:textId="1CC8138C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 xml:space="preserve">Wykonanie wyroku, w którym warunkowo zawieszono wykonanie kary </w:t>
      </w:r>
      <w:r w:rsidR="00567BD4">
        <w:rPr>
          <w:rFonts w:ascii="Times New Roman" w:hAnsi="Times New Roman" w:cs="Times New Roman"/>
          <w:sz w:val="24"/>
          <w:szCs w:val="24"/>
        </w:rPr>
        <w:t>pozbawienia wolności</w:t>
      </w:r>
    </w:p>
    <w:p w14:paraId="0FEA7FC6" w14:textId="77777777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>Wykonie wyroku, w którym warunkowo umorzono postępowanie</w:t>
      </w:r>
    </w:p>
    <w:p w14:paraId="32349B95" w14:textId="134417A2" w:rsidR="002112EF" w:rsidRPr="002112EF" w:rsidRDefault="002112EF" w:rsidP="00BE64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2EF">
        <w:rPr>
          <w:rFonts w:ascii="Times New Roman" w:hAnsi="Times New Roman" w:cs="Times New Roman"/>
          <w:sz w:val="24"/>
          <w:szCs w:val="24"/>
        </w:rPr>
        <w:t xml:space="preserve">Warunkowe przedterminowe zwolnienie </w:t>
      </w:r>
    </w:p>
    <w:p w14:paraId="5690EF82" w14:textId="364B6CC8" w:rsidR="002112EF" w:rsidRPr="00B51427" w:rsidRDefault="002112EF" w:rsidP="00BE64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427">
        <w:rPr>
          <w:rFonts w:ascii="Times New Roman" w:hAnsi="Times New Roman" w:cs="Times New Roman"/>
          <w:sz w:val="24"/>
          <w:szCs w:val="24"/>
        </w:rPr>
        <w:t>Wykonywanie środk</w:t>
      </w:r>
      <w:r w:rsidR="008F7528" w:rsidRPr="00B51427">
        <w:rPr>
          <w:rFonts w:ascii="Times New Roman" w:hAnsi="Times New Roman" w:cs="Times New Roman"/>
          <w:sz w:val="24"/>
          <w:szCs w:val="24"/>
        </w:rPr>
        <w:t>a</w:t>
      </w:r>
      <w:r w:rsidRPr="00B51427">
        <w:rPr>
          <w:rFonts w:ascii="Times New Roman" w:hAnsi="Times New Roman" w:cs="Times New Roman"/>
          <w:sz w:val="24"/>
          <w:szCs w:val="24"/>
        </w:rPr>
        <w:t xml:space="preserve"> zabezpieczając</w:t>
      </w:r>
      <w:r w:rsidR="008F7528" w:rsidRPr="00B51427">
        <w:rPr>
          <w:rFonts w:ascii="Times New Roman" w:hAnsi="Times New Roman" w:cs="Times New Roman"/>
          <w:sz w:val="24"/>
          <w:szCs w:val="24"/>
        </w:rPr>
        <w:t>ego w postaci pobytu w zakładzie psychiatryczny</w:t>
      </w:r>
      <w:r w:rsidR="001000E2">
        <w:rPr>
          <w:rFonts w:ascii="Times New Roman" w:hAnsi="Times New Roman" w:cs="Times New Roman"/>
          <w:sz w:val="24"/>
          <w:szCs w:val="24"/>
        </w:rPr>
        <w:t>m</w:t>
      </w:r>
    </w:p>
    <w:sectPr w:rsidR="002112EF" w:rsidRPr="00B5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1C4B"/>
    <w:multiLevelType w:val="hybridMultilevel"/>
    <w:tmpl w:val="595C907E"/>
    <w:lvl w:ilvl="0" w:tplc="D1DA10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E0E1F"/>
    <w:multiLevelType w:val="hybridMultilevel"/>
    <w:tmpl w:val="92F0873C"/>
    <w:lvl w:ilvl="0" w:tplc="A6F6C4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A7C45"/>
    <w:multiLevelType w:val="hybridMultilevel"/>
    <w:tmpl w:val="E9A27B1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56"/>
    <w:rsid w:val="00077817"/>
    <w:rsid w:val="000D1EFC"/>
    <w:rsid w:val="001000E2"/>
    <w:rsid w:val="002112EF"/>
    <w:rsid w:val="002F778B"/>
    <w:rsid w:val="003A0000"/>
    <w:rsid w:val="00556724"/>
    <w:rsid w:val="00567BD4"/>
    <w:rsid w:val="005D6CAC"/>
    <w:rsid w:val="00624A60"/>
    <w:rsid w:val="00646E09"/>
    <w:rsid w:val="006B642F"/>
    <w:rsid w:val="00805BE8"/>
    <w:rsid w:val="008E0656"/>
    <w:rsid w:val="008F73C1"/>
    <w:rsid w:val="008F7528"/>
    <w:rsid w:val="009C7C16"/>
    <w:rsid w:val="00A6164C"/>
    <w:rsid w:val="00B51427"/>
    <w:rsid w:val="00BA4D51"/>
    <w:rsid w:val="00BE64CA"/>
    <w:rsid w:val="00CA391E"/>
    <w:rsid w:val="00D960E4"/>
    <w:rsid w:val="00E34869"/>
    <w:rsid w:val="00E6383F"/>
    <w:rsid w:val="00E64B4E"/>
    <w:rsid w:val="00F3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02F7"/>
  <w15:chartTrackingRefBased/>
  <w15:docId w15:val="{DE24A679-FEF9-40C9-BEB0-AD5C0CBA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Szczechowicz</dc:creator>
  <cp:keywords/>
  <dc:description/>
  <cp:lastModifiedBy>Krystyna Szczechowicz</cp:lastModifiedBy>
  <cp:revision>19</cp:revision>
  <dcterms:created xsi:type="dcterms:W3CDTF">2021-04-21T14:12:00Z</dcterms:created>
  <dcterms:modified xsi:type="dcterms:W3CDTF">2021-04-22T17:24:00Z</dcterms:modified>
</cp:coreProperties>
</file>