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0FB" w14:textId="77777777" w:rsidR="00B43950" w:rsidRPr="00B43950" w:rsidRDefault="00B43950" w:rsidP="00B439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950">
        <w:rPr>
          <w:rFonts w:ascii="Times New Roman" w:hAnsi="Times New Roman" w:cs="Times New Roman"/>
          <w:b/>
          <w:bCs/>
          <w:sz w:val="28"/>
          <w:szCs w:val="28"/>
        </w:rPr>
        <w:t>Katedra Prawa Konstytucyjnego</w:t>
      </w:r>
    </w:p>
    <w:p w14:paraId="1FF78A93" w14:textId="77777777" w:rsidR="00D87E2C" w:rsidRDefault="00D87E2C" w:rsidP="00D87E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950">
        <w:rPr>
          <w:rFonts w:ascii="Times New Roman" w:hAnsi="Times New Roman" w:cs="Times New Roman"/>
          <w:b/>
          <w:bCs/>
          <w:sz w:val="24"/>
          <w:szCs w:val="24"/>
        </w:rPr>
        <w:t>Zagadnienia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egzamin magisterski</w:t>
      </w:r>
      <w:r w:rsidRPr="00B43950">
        <w:rPr>
          <w:rFonts w:ascii="Times New Roman" w:hAnsi="Times New Roman" w:cs="Times New Roman"/>
          <w:b/>
          <w:bCs/>
          <w:sz w:val="24"/>
          <w:szCs w:val="24"/>
        </w:rPr>
        <w:t xml:space="preserve"> dla kierunku Bezpieczeństwo wewnętrzne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9A2">
        <w:rPr>
          <w:rFonts w:ascii="Times New Roman" w:hAnsi="Times New Roman" w:cs="Times New Roman"/>
          <w:b/>
          <w:bCs/>
          <w:sz w:val="24"/>
          <w:szCs w:val="24"/>
        </w:rPr>
        <w:t>(wszystkie pytania dotyczą ustroju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9A2">
        <w:rPr>
          <w:rFonts w:ascii="Times New Roman" w:hAnsi="Times New Roman" w:cs="Times New Roman"/>
          <w:b/>
          <w:bCs/>
          <w:sz w:val="24"/>
          <w:szCs w:val="24"/>
        </w:rPr>
        <w:t>konstytucyjnego Polski, Konstytucji z 2 kwietnia 1997 r. oraz właściwych ustaw)</w:t>
      </w:r>
      <w:r w:rsidRPr="00B439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68BF8C0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. Źródła prawa powszechnie obowiązującego.</w:t>
      </w:r>
    </w:p>
    <w:p w14:paraId="72D2C54C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2. Konstytucja – cechy konstytucji, rodzaje konstytucji.</w:t>
      </w:r>
    </w:p>
    <w:p w14:paraId="1AE7F603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. Ustawa.</w:t>
      </w:r>
    </w:p>
    <w:p w14:paraId="4FD59F3D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3950">
        <w:rPr>
          <w:rFonts w:ascii="Times New Roman" w:hAnsi="Times New Roman" w:cs="Times New Roman"/>
          <w:sz w:val="24"/>
          <w:szCs w:val="24"/>
        </w:rPr>
        <w:t>. Rozporządzenie.</w:t>
      </w:r>
    </w:p>
    <w:p w14:paraId="514AD24F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3950">
        <w:rPr>
          <w:rFonts w:ascii="Times New Roman" w:hAnsi="Times New Roman" w:cs="Times New Roman"/>
          <w:sz w:val="24"/>
          <w:szCs w:val="24"/>
        </w:rPr>
        <w:t>. Rozporządzenie z mocą ustawy.</w:t>
      </w:r>
    </w:p>
    <w:p w14:paraId="3E72F0CC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3950">
        <w:rPr>
          <w:rFonts w:ascii="Times New Roman" w:hAnsi="Times New Roman" w:cs="Times New Roman"/>
          <w:sz w:val="24"/>
          <w:szCs w:val="24"/>
        </w:rPr>
        <w:t>. Ratyfikowane umowy międzynarodowe.</w:t>
      </w:r>
    </w:p>
    <w:p w14:paraId="5A8CA29E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3950">
        <w:rPr>
          <w:rFonts w:ascii="Times New Roman" w:hAnsi="Times New Roman" w:cs="Times New Roman"/>
          <w:sz w:val="24"/>
          <w:szCs w:val="24"/>
        </w:rPr>
        <w:t>. Prawo miejscowe.</w:t>
      </w:r>
    </w:p>
    <w:p w14:paraId="60475F70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8. Zasady publikacji aktów normatywnych.</w:t>
      </w:r>
    </w:p>
    <w:p w14:paraId="2D2535F0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 w:rsidRPr="00B43950">
        <w:rPr>
          <w:rFonts w:ascii="Times New Roman" w:hAnsi="Times New Roman" w:cs="Times New Roman"/>
          <w:sz w:val="24"/>
          <w:szCs w:val="24"/>
        </w:rPr>
        <w:t>9. Źródła prawa wewnętrznie obowiązującego.</w:t>
      </w:r>
    </w:p>
    <w:p w14:paraId="07930165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0. Zasady prawa wyborczego.</w:t>
      </w:r>
    </w:p>
    <w:p w14:paraId="2DA944ED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1. Zasada powszechności prawa wyborczego i jej gwarancje.</w:t>
      </w:r>
    </w:p>
    <w:p w14:paraId="51C60BA4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2. Zasada tajności głosowani i jej gwarancje.</w:t>
      </w:r>
    </w:p>
    <w:p w14:paraId="35B980B9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3. Alternatywne metody głosowania.</w:t>
      </w:r>
    </w:p>
    <w:p w14:paraId="288C137F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4. Bierne i czynne prawo wyborcze.</w:t>
      </w:r>
    </w:p>
    <w:p w14:paraId="20D4C442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5. Kadencja Sejmu i Senatu i jej skrócenie.</w:t>
      </w:r>
    </w:p>
    <w:p w14:paraId="1D79D8A4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6. Mandat parlamentarny i jego rodzaje.</w:t>
      </w:r>
    </w:p>
    <w:p w14:paraId="6678DC0D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7. Immunitet parlamentarny.</w:t>
      </w:r>
    </w:p>
    <w:p w14:paraId="459EBBB5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8. Materialne warunki wykonywania mandatu parlamentarnego.</w:t>
      </w:r>
    </w:p>
    <w:p w14:paraId="7593F88D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3950">
        <w:rPr>
          <w:rFonts w:ascii="Times New Roman" w:hAnsi="Times New Roman" w:cs="Times New Roman"/>
          <w:sz w:val="24"/>
          <w:szCs w:val="24"/>
        </w:rPr>
        <w:t>9. Funkcje Sejmu Rzeczypospolitej Polskiej – krótka charakterystyka.</w:t>
      </w:r>
    </w:p>
    <w:p w14:paraId="48B32558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950">
        <w:rPr>
          <w:rFonts w:ascii="Times New Roman" w:hAnsi="Times New Roman" w:cs="Times New Roman"/>
          <w:sz w:val="24"/>
          <w:szCs w:val="24"/>
        </w:rPr>
        <w:t>0. Funkcja ustawodawcza.</w:t>
      </w:r>
    </w:p>
    <w:p w14:paraId="1BAC7F02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950">
        <w:rPr>
          <w:rFonts w:ascii="Times New Roman" w:hAnsi="Times New Roman" w:cs="Times New Roman"/>
          <w:sz w:val="24"/>
          <w:szCs w:val="24"/>
        </w:rPr>
        <w:t>1. Funkcja kontrolna.</w:t>
      </w:r>
    </w:p>
    <w:p w14:paraId="439121A1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950">
        <w:rPr>
          <w:rFonts w:ascii="Times New Roman" w:hAnsi="Times New Roman" w:cs="Times New Roman"/>
          <w:sz w:val="24"/>
          <w:szCs w:val="24"/>
        </w:rPr>
        <w:t>2. Organizacja wewnętrzna Sejmu i zasady funkcjonowania.</w:t>
      </w:r>
    </w:p>
    <w:p w14:paraId="31C3F648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950">
        <w:rPr>
          <w:rFonts w:ascii="Times New Roman" w:hAnsi="Times New Roman" w:cs="Times New Roman"/>
          <w:sz w:val="24"/>
          <w:szCs w:val="24"/>
        </w:rPr>
        <w:t>3. Skład Senatu.</w:t>
      </w:r>
    </w:p>
    <w:p w14:paraId="45CBE4FF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950">
        <w:rPr>
          <w:rFonts w:ascii="Times New Roman" w:hAnsi="Times New Roman" w:cs="Times New Roman"/>
          <w:sz w:val="24"/>
          <w:szCs w:val="24"/>
        </w:rPr>
        <w:t>4. Funkcje Senatu.</w:t>
      </w:r>
    </w:p>
    <w:p w14:paraId="3A1CF75C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950">
        <w:rPr>
          <w:rFonts w:ascii="Times New Roman" w:hAnsi="Times New Roman" w:cs="Times New Roman"/>
          <w:sz w:val="24"/>
          <w:szCs w:val="24"/>
        </w:rPr>
        <w:t>5. Pozycja ustrojowa Prezydenta RP.</w:t>
      </w:r>
    </w:p>
    <w:p w14:paraId="044A4D68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950">
        <w:rPr>
          <w:rFonts w:ascii="Times New Roman" w:hAnsi="Times New Roman" w:cs="Times New Roman"/>
          <w:sz w:val="24"/>
          <w:szCs w:val="24"/>
        </w:rPr>
        <w:t>6. Funkcje Prezydenta RP.</w:t>
      </w:r>
    </w:p>
    <w:p w14:paraId="31883F1C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950">
        <w:rPr>
          <w:rFonts w:ascii="Times New Roman" w:hAnsi="Times New Roman" w:cs="Times New Roman"/>
          <w:sz w:val="24"/>
          <w:szCs w:val="24"/>
        </w:rPr>
        <w:t>7. Opróżnienie urzędu Prezydenta i zastępstwo Prezydenta RP.</w:t>
      </w:r>
    </w:p>
    <w:p w14:paraId="52E9F514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43950">
        <w:rPr>
          <w:rFonts w:ascii="Times New Roman" w:hAnsi="Times New Roman" w:cs="Times New Roman"/>
          <w:sz w:val="24"/>
          <w:szCs w:val="24"/>
        </w:rPr>
        <w:t>8. Akty urzędowe Prezydenta.</w:t>
      </w:r>
    </w:p>
    <w:p w14:paraId="746BED49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950">
        <w:rPr>
          <w:rFonts w:ascii="Times New Roman" w:hAnsi="Times New Roman" w:cs="Times New Roman"/>
          <w:sz w:val="24"/>
          <w:szCs w:val="24"/>
        </w:rPr>
        <w:t>9. Odpowiedzialność Prezydenta RP.</w:t>
      </w:r>
    </w:p>
    <w:p w14:paraId="6B7AEE5F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0. Pozycja ustrojowa Rady Ministrów.</w:t>
      </w:r>
    </w:p>
    <w:p w14:paraId="66179F3B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1. Skład Rady Ministrów.</w:t>
      </w:r>
    </w:p>
    <w:p w14:paraId="334489DA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2. Pozycja ustrojowa Prezesa Rady Ministrów.</w:t>
      </w:r>
    </w:p>
    <w:p w14:paraId="67694DDB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3. Odpowiedzialność polityczna Rady Ministrów.</w:t>
      </w:r>
    </w:p>
    <w:p w14:paraId="4DDCA658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4. Odpowiedzialność polityczna członków Rady Ministrów.</w:t>
      </w:r>
    </w:p>
    <w:p w14:paraId="24E66B5E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5. Odpowiedzialność konstytucyjna członków Rady Ministrów.</w:t>
      </w:r>
    </w:p>
    <w:p w14:paraId="36B1B01E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6. Władza sądownicza w Konstytucji.</w:t>
      </w:r>
    </w:p>
    <w:p w14:paraId="59BE46DD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7. Zasada niezależności sądów i niezawisłości sędziów oraz jej ustawowe gwarancje.</w:t>
      </w:r>
    </w:p>
    <w:p w14:paraId="73B16F90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8. Zasada stabilizacji urzędu sędziego.</w:t>
      </w:r>
    </w:p>
    <w:p w14:paraId="7911DB00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950">
        <w:rPr>
          <w:rFonts w:ascii="Times New Roman" w:hAnsi="Times New Roman" w:cs="Times New Roman"/>
          <w:sz w:val="24"/>
          <w:szCs w:val="24"/>
        </w:rPr>
        <w:t>9. Trybunał Konstytucyjny – skład i kompetencje.</w:t>
      </w:r>
    </w:p>
    <w:p w14:paraId="3D0B7A39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B43950">
        <w:rPr>
          <w:rFonts w:ascii="Times New Roman" w:hAnsi="Times New Roman" w:cs="Times New Roman"/>
          <w:sz w:val="24"/>
          <w:szCs w:val="24"/>
        </w:rPr>
        <w:t>. Trybunał Stanu, skład, zasady funkcjonowania.</w:t>
      </w:r>
    </w:p>
    <w:p w14:paraId="7C5CB3D8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43950">
        <w:rPr>
          <w:rFonts w:ascii="Times New Roman" w:hAnsi="Times New Roman" w:cs="Times New Roman"/>
          <w:sz w:val="24"/>
          <w:szCs w:val="24"/>
        </w:rPr>
        <w:t>. Podmiotowy zakres odpowiedzialności przed Trybunałem Stanu.</w:t>
      </w:r>
    </w:p>
    <w:p w14:paraId="0B6C6F31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B43950">
        <w:rPr>
          <w:rFonts w:ascii="Times New Roman" w:hAnsi="Times New Roman" w:cs="Times New Roman"/>
          <w:sz w:val="24"/>
          <w:szCs w:val="24"/>
        </w:rPr>
        <w:t>. Pojęcie deliktu konstytucyjnego.</w:t>
      </w:r>
    </w:p>
    <w:p w14:paraId="59F258E1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B43950">
        <w:rPr>
          <w:rFonts w:ascii="Times New Roman" w:hAnsi="Times New Roman" w:cs="Times New Roman"/>
          <w:sz w:val="24"/>
          <w:szCs w:val="24"/>
        </w:rPr>
        <w:t>. Struktura sądownictwa w Rzeczypospolitej Polskiej.</w:t>
      </w:r>
    </w:p>
    <w:p w14:paraId="4148A4C7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B43950">
        <w:rPr>
          <w:rFonts w:ascii="Times New Roman" w:hAnsi="Times New Roman" w:cs="Times New Roman"/>
          <w:sz w:val="24"/>
          <w:szCs w:val="24"/>
        </w:rPr>
        <w:t>. Krajowa Rada Sądownictwa.</w:t>
      </w:r>
    </w:p>
    <w:p w14:paraId="1AE6357F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B43950">
        <w:rPr>
          <w:rFonts w:ascii="Times New Roman" w:hAnsi="Times New Roman" w:cs="Times New Roman"/>
          <w:sz w:val="24"/>
          <w:szCs w:val="24"/>
        </w:rPr>
        <w:t>. Pozycja ustrojowa Rzecznika Praw Obywatelskich.</w:t>
      </w:r>
    </w:p>
    <w:p w14:paraId="0C9EFC64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B43950">
        <w:rPr>
          <w:rFonts w:ascii="Times New Roman" w:hAnsi="Times New Roman" w:cs="Times New Roman"/>
          <w:sz w:val="24"/>
          <w:szCs w:val="24"/>
        </w:rPr>
        <w:t>. Pozycja ustrojowa Rzecznika Praw Dziecka.</w:t>
      </w:r>
    </w:p>
    <w:p w14:paraId="4A454518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B43950">
        <w:rPr>
          <w:rFonts w:ascii="Times New Roman" w:hAnsi="Times New Roman" w:cs="Times New Roman"/>
          <w:sz w:val="24"/>
          <w:szCs w:val="24"/>
        </w:rPr>
        <w:t>. Najwyższa Izba Kontroli – właściwość rzeczowa.</w:t>
      </w:r>
    </w:p>
    <w:p w14:paraId="5E788F78" w14:textId="77777777" w:rsidR="00D87E2C" w:rsidRPr="00B43950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B43950">
        <w:rPr>
          <w:rFonts w:ascii="Times New Roman" w:hAnsi="Times New Roman" w:cs="Times New Roman"/>
          <w:sz w:val="24"/>
          <w:szCs w:val="24"/>
        </w:rPr>
        <w:t>. Organy NIK i ich kompetencje.</w:t>
      </w:r>
    </w:p>
    <w:p w14:paraId="5224E20F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B439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Konstytucyjna regulacja stanu klęski żywiołowej</w:t>
      </w:r>
      <w:r w:rsidRPr="00B43950">
        <w:rPr>
          <w:rFonts w:ascii="Times New Roman" w:hAnsi="Times New Roman" w:cs="Times New Roman"/>
          <w:sz w:val="24"/>
          <w:szCs w:val="24"/>
        </w:rPr>
        <w:t>.</w:t>
      </w:r>
    </w:p>
    <w:p w14:paraId="6C012FC4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Konstytucyjna regulacja stanu wojennego.</w:t>
      </w:r>
    </w:p>
    <w:p w14:paraId="049255A3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Konstytucyjna regulacja stanu wyjątkowego.</w:t>
      </w:r>
    </w:p>
    <w:p w14:paraId="7CEC0330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Uprawnienia Prezydenta w zakresie bezpieczeństwa państwa.</w:t>
      </w:r>
    </w:p>
    <w:p w14:paraId="05433264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Rozporządzenie z mocą ustawy. </w:t>
      </w:r>
    </w:p>
    <w:p w14:paraId="7DF0D3CE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54.Użycie wojska poza granicami Polski.</w:t>
      </w:r>
    </w:p>
    <w:p w14:paraId="1AFA8FDB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Jaki organ zarządza całkowitą i częściową mobilizację.</w:t>
      </w:r>
    </w:p>
    <w:p w14:paraId="196D8E84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Wybory do Sejmu i Senatu a stany nadzwyczajne. </w:t>
      </w:r>
    </w:p>
    <w:p w14:paraId="1B011C25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Zasada nienaruszalności terytorialnej państwa.</w:t>
      </w:r>
    </w:p>
    <w:p w14:paraId="14A18824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59. Apartyjność i apolityczność. </w:t>
      </w:r>
    </w:p>
    <w:p w14:paraId="13F0989C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Jaki organ nadaje stopień wojskowy generała.</w:t>
      </w:r>
    </w:p>
    <w:p w14:paraId="101B4FBF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Rada Bezpieczeństwa Narodowego. </w:t>
      </w:r>
    </w:p>
    <w:p w14:paraId="02CF1946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Konstytucyjna zasada równości a przywileje emerytalne funkcjonariuszy Policji. </w:t>
      </w:r>
    </w:p>
    <w:p w14:paraId="5E093F76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Kontrasygnata aktów urzędowych prezydenta. </w:t>
      </w:r>
    </w:p>
    <w:p w14:paraId="23D47214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0172F7">
        <w:rPr>
          <w:rFonts w:ascii="Times New Roman" w:hAnsi="Times New Roman" w:cs="Times New Roman"/>
          <w:sz w:val="24"/>
          <w:szCs w:val="24"/>
        </w:rPr>
        <w:t xml:space="preserve">Konstytucyjna zasada równości a przywileje emerytalne </w:t>
      </w:r>
      <w:r>
        <w:rPr>
          <w:rFonts w:ascii="Times New Roman" w:hAnsi="Times New Roman" w:cs="Times New Roman"/>
          <w:sz w:val="24"/>
          <w:szCs w:val="24"/>
        </w:rPr>
        <w:t xml:space="preserve">żołnierzy zawodowych. </w:t>
      </w:r>
    </w:p>
    <w:p w14:paraId="28293C70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Bierne prawo wyborcze na urząd Prezydenta.</w:t>
      </w:r>
    </w:p>
    <w:p w14:paraId="51005FFD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Bierne prawo wyborcze do Sejmu.</w:t>
      </w:r>
    </w:p>
    <w:p w14:paraId="166F5BCF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Bierne prawo wyborcze do Senatu.</w:t>
      </w:r>
    </w:p>
    <w:p w14:paraId="4921C115" w14:textId="77777777" w:rsidR="00D87E2C" w:rsidRPr="000172F7" w:rsidRDefault="00D87E2C" w:rsidP="00D8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Zasada decentralizacji władzy publicznej. </w:t>
      </w:r>
    </w:p>
    <w:p w14:paraId="2EF914E7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</w:p>
    <w:p w14:paraId="24A3A654" w14:textId="77777777" w:rsidR="00D87E2C" w:rsidRDefault="00D87E2C" w:rsidP="00D87E2C">
      <w:pPr>
        <w:rPr>
          <w:rFonts w:ascii="Times New Roman" w:hAnsi="Times New Roman" w:cs="Times New Roman"/>
          <w:sz w:val="24"/>
          <w:szCs w:val="24"/>
        </w:rPr>
      </w:pPr>
    </w:p>
    <w:sectPr w:rsidR="00D8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50"/>
    <w:rsid w:val="000172F7"/>
    <w:rsid w:val="00557E21"/>
    <w:rsid w:val="005648E9"/>
    <w:rsid w:val="0062030A"/>
    <w:rsid w:val="00981A72"/>
    <w:rsid w:val="009A6BE0"/>
    <w:rsid w:val="00B43950"/>
    <w:rsid w:val="00CF29A2"/>
    <w:rsid w:val="00D87E2C"/>
    <w:rsid w:val="00E81043"/>
    <w:rsid w:val="00F56E81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3B0"/>
  <w15:chartTrackingRefBased/>
  <w15:docId w15:val="{5DAC0728-841A-46FD-985A-B8B9AB9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Przybyszewska-Szter</dc:creator>
  <cp:keywords/>
  <dc:description/>
  <cp:lastModifiedBy>Anna Jankowska</cp:lastModifiedBy>
  <cp:revision>2</cp:revision>
  <dcterms:created xsi:type="dcterms:W3CDTF">2021-04-27T12:34:00Z</dcterms:created>
  <dcterms:modified xsi:type="dcterms:W3CDTF">2021-04-27T12:34:00Z</dcterms:modified>
</cp:coreProperties>
</file>