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1B30" w14:textId="77777777" w:rsidR="004C0FB1" w:rsidRPr="00F17BB1" w:rsidRDefault="004C0FB1" w:rsidP="004C0FB1">
      <w:pPr>
        <w:spacing w:line="276" w:lineRule="auto"/>
        <w:rPr>
          <w:rFonts w:ascii="Garamond" w:hAnsi="Garamond"/>
          <w:b/>
          <w:bCs/>
          <w:sz w:val="26"/>
          <w:szCs w:val="26"/>
        </w:rPr>
      </w:pPr>
    </w:p>
    <w:p w14:paraId="3CE5E9A4" w14:textId="7FC7F56F" w:rsidR="00EA37D8" w:rsidRPr="00F17BB1" w:rsidRDefault="00EA37D8" w:rsidP="004C0FB1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>PRAWO</w:t>
      </w:r>
    </w:p>
    <w:p w14:paraId="7404E4CA" w14:textId="317EF253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Zagadnienia ogólne: </w:t>
      </w:r>
    </w:p>
    <w:p w14:paraId="31EBF337" w14:textId="69DF2D23" w:rsidR="004C0FB1" w:rsidRPr="00F17BB1" w:rsidRDefault="004C0FB1" w:rsidP="004C0FB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Rodzaje postępowania cywilnego oraz podstawowe różnice między nimi. </w:t>
      </w:r>
    </w:p>
    <w:p w14:paraId="42648CEE" w14:textId="375E7381" w:rsidR="004C0FB1" w:rsidRPr="00F17BB1" w:rsidRDefault="004C0FB1" w:rsidP="004C0FB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Pojęcie sprawy cywilnej. </w:t>
      </w:r>
    </w:p>
    <w:p w14:paraId="1402F7AF" w14:textId="1D7D5300" w:rsidR="00116F3B" w:rsidRPr="00F17BB1" w:rsidRDefault="00116F3B" w:rsidP="004C0FB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Dopuszczalność drogi sądowej.</w:t>
      </w:r>
    </w:p>
    <w:p w14:paraId="34725270" w14:textId="568448EA" w:rsidR="00116F3B" w:rsidRPr="00F17BB1" w:rsidRDefault="00116F3B" w:rsidP="004C0FB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Zasady postępowania cywilnego.</w:t>
      </w:r>
    </w:p>
    <w:p w14:paraId="6769FF99" w14:textId="33D2021D" w:rsidR="00116F3B" w:rsidRPr="00F17BB1" w:rsidRDefault="00116F3B" w:rsidP="004C0FB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Udział prokuratora w postępowaniu cywilnym.</w:t>
      </w:r>
    </w:p>
    <w:p w14:paraId="7FE8F847" w14:textId="01253A2E" w:rsidR="004C0FB1" w:rsidRPr="00F17BB1" w:rsidRDefault="004C0FB1" w:rsidP="004C0FB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Moc wiążąca wyroku karnego. </w:t>
      </w:r>
    </w:p>
    <w:p w14:paraId="6B1D6A73" w14:textId="7E54C71E" w:rsidR="004C0FB1" w:rsidRPr="00F17BB1" w:rsidRDefault="004C0FB1" w:rsidP="004C0FB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Przesłanki procesowe. </w:t>
      </w:r>
    </w:p>
    <w:p w14:paraId="4F6011DF" w14:textId="77777777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Podmioty postępowania cywilnego: </w:t>
      </w:r>
    </w:p>
    <w:p w14:paraId="4A364587" w14:textId="44F32AF9" w:rsidR="004C0FB1" w:rsidRPr="00F17BB1" w:rsidRDefault="004C0FB1" w:rsidP="004C0FB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Zdolność sądowa i procesowa. </w:t>
      </w:r>
    </w:p>
    <w:p w14:paraId="469F8862" w14:textId="53F0328B" w:rsidR="005169F7" w:rsidRPr="00F17BB1" w:rsidRDefault="005169F7" w:rsidP="004C0FB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Skutki braku zdolności sądowej i procesowej stron.</w:t>
      </w:r>
    </w:p>
    <w:p w14:paraId="2E95CDD6" w14:textId="7F2350B8" w:rsidR="004C0FB1" w:rsidRPr="00F17BB1" w:rsidRDefault="004C0FB1" w:rsidP="004C0FB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Strony procesu. </w:t>
      </w:r>
    </w:p>
    <w:p w14:paraId="523E24D8" w14:textId="77777777" w:rsidR="005169F7" w:rsidRPr="00F17BB1" w:rsidRDefault="004C0FB1" w:rsidP="004C0FB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Interwencja główna i uboczna.</w:t>
      </w:r>
    </w:p>
    <w:p w14:paraId="612EF6CF" w14:textId="31D1D667" w:rsidR="004C0FB1" w:rsidRPr="00F17BB1" w:rsidRDefault="005169F7" w:rsidP="004C0FB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Przypozwanie.</w:t>
      </w:r>
      <w:r w:rsidR="004C0FB1" w:rsidRPr="00F17BB1">
        <w:rPr>
          <w:rFonts w:ascii="Garamond" w:hAnsi="Garamond"/>
          <w:sz w:val="26"/>
          <w:szCs w:val="26"/>
        </w:rPr>
        <w:t xml:space="preserve"> </w:t>
      </w:r>
    </w:p>
    <w:p w14:paraId="013F29AE" w14:textId="0E671C45" w:rsidR="004C0FB1" w:rsidRPr="00F17BB1" w:rsidRDefault="004C0FB1" w:rsidP="004C0FB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Współuczestnictwo procesowe. </w:t>
      </w:r>
    </w:p>
    <w:p w14:paraId="52DC9B41" w14:textId="67AA2CE2" w:rsidR="005169F7" w:rsidRPr="00F17BB1" w:rsidRDefault="005169F7" w:rsidP="004C0FB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Legitymacja procesowa – jej rodzaje i skutek braku.</w:t>
      </w:r>
    </w:p>
    <w:p w14:paraId="0032725A" w14:textId="293277CC" w:rsidR="005169F7" w:rsidRPr="00F17BB1" w:rsidRDefault="005169F7" w:rsidP="004C0FB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Przekształcenia podmiotowe (zapozwanie, dopozwanie)</w:t>
      </w:r>
    </w:p>
    <w:p w14:paraId="0FC13971" w14:textId="56F57D97" w:rsidR="005169F7" w:rsidRPr="00F17BB1" w:rsidRDefault="005169F7" w:rsidP="004C0FB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Kurator w procesie cywilnym.</w:t>
      </w:r>
    </w:p>
    <w:p w14:paraId="6EDEB531" w14:textId="77777777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Sąd w postępowaniu cywilnym: </w:t>
      </w:r>
    </w:p>
    <w:p w14:paraId="77352D2E" w14:textId="0AAB5268" w:rsidR="004C0FB1" w:rsidRPr="00F17BB1" w:rsidRDefault="004C0FB1" w:rsidP="004C0FB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Pojęcie właściwości rzeczowej sądu i rodzaje. </w:t>
      </w:r>
    </w:p>
    <w:p w14:paraId="5227182B" w14:textId="799A7B66" w:rsidR="004C0FB1" w:rsidRPr="00F17BB1" w:rsidRDefault="004C0FB1" w:rsidP="004C0FB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Pojęcie właściwości miejscowej sądu i rodzaje. </w:t>
      </w:r>
    </w:p>
    <w:p w14:paraId="4BCFD26E" w14:textId="514D2A6C" w:rsidR="005169F7" w:rsidRPr="00F17BB1" w:rsidRDefault="005169F7" w:rsidP="004C0FB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Umowa prorogacyjna.</w:t>
      </w:r>
    </w:p>
    <w:p w14:paraId="6AF98200" w14:textId="22DFE139" w:rsidR="005169F7" w:rsidRPr="00F17BB1" w:rsidRDefault="005169F7" w:rsidP="004C0FB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Wartość przedmiotu sporu i wartość przedmiotu zaskarżenia.</w:t>
      </w:r>
    </w:p>
    <w:p w14:paraId="16729799" w14:textId="32869997" w:rsidR="004C0FB1" w:rsidRPr="00F17BB1" w:rsidRDefault="004C0FB1" w:rsidP="004C0FB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Skład sądu I oraz w II instancji. </w:t>
      </w:r>
    </w:p>
    <w:p w14:paraId="25F7DEFD" w14:textId="5D124C2B" w:rsidR="004C0FB1" w:rsidRPr="00F17BB1" w:rsidRDefault="004C0FB1" w:rsidP="004C0FB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Wyłączenie sędziego. </w:t>
      </w:r>
    </w:p>
    <w:p w14:paraId="75D35F22" w14:textId="77777777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Pełnomocnictwo procesowe: </w:t>
      </w:r>
    </w:p>
    <w:p w14:paraId="12C4B818" w14:textId="29393FFD" w:rsidR="004C0FB1" w:rsidRPr="00F17BB1" w:rsidRDefault="004C0FB1" w:rsidP="004C0FB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Pojęcie pełnomocnictwa. </w:t>
      </w:r>
    </w:p>
    <w:p w14:paraId="696BEAC5" w14:textId="448F4A52" w:rsidR="004C0FB1" w:rsidRPr="00F17BB1" w:rsidRDefault="004C0FB1" w:rsidP="004C0FB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Rodzaje pełnomocnictwa. </w:t>
      </w:r>
    </w:p>
    <w:p w14:paraId="4CBE3171" w14:textId="39080E17" w:rsidR="004C0FB1" w:rsidRPr="00F17BB1" w:rsidRDefault="004C0FB1" w:rsidP="004C0FB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Forma pełnomocnictwa. </w:t>
      </w:r>
    </w:p>
    <w:p w14:paraId="5845F3EB" w14:textId="757D5D46" w:rsidR="005169F7" w:rsidRPr="00F17BB1" w:rsidRDefault="005169F7" w:rsidP="004C0FB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Pełnomocnicy w procesie cywilnym.</w:t>
      </w:r>
    </w:p>
    <w:p w14:paraId="04053DBD" w14:textId="744B5921" w:rsidR="004C0FB1" w:rsidRPr="00F17BB1" w:rsidRDefault="004C0FB1" w:rsidP="004C0FB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Przymus adwokacko-radcowski. </w:t>
      </w:r>
    </w:p>
    <w:p w14:paraId="1CF851A8" w14:textId="47EAE69A" w:rsidR="005169F7" w:rsidRPr="00F17BB1" w:rsidRDefault="005169F7" w:rsidP="004C0FB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Zakres pełnomocnictwa procesowego.</w:t>
      </w:r>
    </w:p>
    <w:p w14:paraId="48B6EA4C" w14:textId="72A6731F" w:rsidR="005169F7" w:rsidRPr="00F17BB1" w:rsidRDefault="005169F7" w:rsidP="004C0FB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Wypowiedzenie pełnomocnictwa procesowego i jego skutki.</w:t>
      </w:r>
    </w:p>
    <w:p w14:paraId="223CE77D" w14:textId="09E2E38F" w:rsidR="00AA0491" w:rsidRPr="00F17BB1" w:rsidRDefault="00AA0491" w:rsidP="004C0FB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Pomoc prawna z urzędu.</w:t>
      </w:r>
    </w:p>
    <w:p w14:paraId="07E90FAB" w14:textId="77777777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Koszty procesu </w:t>
      </w:r>
    </w:p>
    <w:p w14:paraId="02D6246E" w14:textId="41342924" w:rsidR="004C0FB1" w:rsidRPr="00F17BB1" w:rsidRDefault="004C0FB1" w:rsidP="004C0FB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Pojęcie i zakres kosztów procesu. </w:t>
      </w:r>
    </w:p>
    <w:p w14:paraId="774E3E08" w14:textId="698C9336" w:rsidR="004C0FB1" w:rsidRPr="00F17BB1" w:rsidRDefault="004C0FB1" w:rsidP="004C0FB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Zasady ponoszenia kosztów procesu. </w:t>
      </w:r>
    </w:p>
    <w:p w14:paraId="3DACB129" w14:textId="17C389E7" w:rsidR="004C0FB1" w:rsidRPr="00F17BB1" w:rsidRDefault="004C0FB1" w:rsidP="004C0FB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Orzekanie przez sądu o kosztach procesu.</w:t>
      </w:r>
    </w:p>
    <w:p w14:paraId="56DCFFF8" w14:textId="01895816" w:rsidR="00AA0491" w:rsidRPr="00F17BB1" w:rsidRDefault="00AA0491" w:rsidP="004C0FB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lastRenderedPageBreak/>
        <w:t>Koszty sądowe.</w:t>
      </w:r>
    </w:p>
    <w:p w14:paraId="145D5A77" w14:textId="0D04F78C" w:rsidR="00AA0491" w:rsidRPr="00F17BB1" w:rsidRDefault="00AA0491" w:rsidP="00AA049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Rodzaje opłat w postępowaniu cywilnym.</w:t>
      </w:r>
    </w:p>
    <w:p w14:paraId="529E66CE" w14:textId="52A4170E" w:rsidR="00AA0491" w:rsidRPr="00F17BB1" w:rsidRDefault="00AA0491" w:rsidP="00AA049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Instytucja zwolnienia od kosztów sądowych.</w:t>
      </w:r>
    </w:p>
    <w:p w14:paraId="3B71EF34" w14:textId="6F344AC7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Pisma procesowe: </w:t>
      </w:r>
    </w:p>
    <w:p w14:paraId="1DAE69AF" w14:textId="42A077F1" w:rsidR="004C0FB1" w:rsidRPr="00F17BB1" w:rsidRDefault="004C0FB1" w:rsidP="004C0FB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Pojęcie pism procesowych.</w:t>
      </w:r>
    </w:p>
    <w:p w14:paraId="2B26483F" w14:textId="38379265" w:rsidR="004C0FB1" w:rsidRPr="00F17BB1" w:rsidRDefault="004C0FB1" w:rsidP="004C0FB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Forma</w:t>
      </w:r>
      <w:r w:rsidR="00AA0491" w:rsidRPr="00F17BB1">
        <w:rPr>
          <w:rFonts w:ascii="Garamond" w:hAnsi="Garamond"/>
          <w:sz w:val="26"/>
          <w:szCs w:val="26"/>
        </w:rPr>
        <w:t xml:space="preserve"> i</w:t>
      </w:r>
      <w:r w:rsidRPr="00F17BB1">
        <w:rPr>
          <w:rFonts w:ascii="Garamond" w:hAnsi="Garamond"/>
          <w:sz w:val="26"/>
          <w:szCs w:val="26"/>
        </w:rPr>
        <w:t xml:space="preserve"> warunki formalne przewidziane dla pisma procesowego. </w:t>
      </w:r>
    </w:p>
    <w:p w14:paraId="196C29AC" w14:textId="4557F13C" w:rsidR="004C0FB1" w:rsidRPr="00F17BB1" w:rsidRDefault="004C0FB1" w:rsidP="004C0FB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Procedura uzupełniania braków w piśmie procesowym. </w:t>
      </w:r>
    </w:p>
    <w:p w14:paraId="18833050" w14:textId="2BA382FF" w:rsidR="004C0FB1" w:rsidRPr="00F17BB1" w:rsidRDefault="004C0FB1" w:rsidP="004C0FB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Skutki uzupełnienia braków (opłacenia pisma) w ustawowym terminie i skutki nieuzupełnienia tych braków. </w:t>
      </w:r>
    </w:p>
    <w:p w14:paraId="315F20C4" w14:textId="231A9031" w:rsidR="00AA0491" w:rsidRPr="00F17BB1" w:rsidRDefault="00200D78" w:rsidP="004C0FB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Pojęcie pisma przygotowawczego.</w:t>
      </w:r>
    </w:p>
    <w:p w14:paraId="1811C02E" w14:textId="77777777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Doręczenia: </w:t>
      </w:r>
    </w:p>
    <w:p w14:paraId="1ABCB7C0" w14:textId="067E653B" w:rsidR="004C0FB1" w:rsidRPr="00F17BB1" w:rsidRDefault="004C0FB1" w:rsidP="004C0FB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Doręczenia pism osobom fizycznym. </w:t>
      </w:r>
    </w:p>
    <w:p w14:paraId="7C8299CE" w14:textId="7D11A5B5" w:rsidR="004C0FB1" w:rsidRPr="00F17BB1" w:rsidRDefault="004C0FB1" w:rsidP="004C0FB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Doręczenia pism osobom prawnym i jednostkom organizacyjnym.</w:t>
      </w:r>
    </w:p>
    <w:p w14:paraId="5301A515" w14:textId="0F8D49C1" w:rsidR="004C0FB1" w:rsidRPr="00F17BB1" w:rsidRDefault="004C0FB1" w:rsidP="004C0FB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Doręczenie pisma pełnomocnikowi. </w:t>
      </w:r>
    </w:p>
    <w:p w14:paraId="518A333C" w14:textId="6D13C692" w:rsidR="004C0FB1" w:rsidRPr="00F17BB1" w:rsidRDefault="004C0FB1" w:rsidP="004C0FB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Podmioty dokonujące doręczeń.</w:t>
      </w:r>
    </w:p>
    <w:p w14:paraId="7900EEC4" w14:textId="262C27F4" w:rsidR="00200D78" w:rsidRPr="00F17BB1" w:rsidRDefault="00200D78" w:rsidP="004C0FB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Doręczenie zastępcze i jego skutki.</w:t>
      </w:r>
    </w:p>
    <w:p w14:paraId="7AD471E8" w14:textId="423678B0" w:rsidR="00200D78" w:rsidRPr="00F17BB1" w:rsidRDefault="00200D78" w:rsidP="004C0FB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Doręczanie pism sądowych przez komornika.</w:t>
      </w:r>
    </w:p>
    <w:p w14:paraId="03D84C84" w14:textId="3CBB570D" w:rsidR="00200D78" w:rsidRPr="00F17BB1" w:rsidRDefault="00200D78" w:rsidP="004C0FB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Kurator osoby nieznanej z miejsca pobytu.</w:t>
      </w:r>
    </w:p>
    <w:p w14:paraId="2B5E2EB7" w14:textId="77777777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Posiedzenia sądowe: </w:t>
      </w:r>
    </w:p>
    <w:p w14:paraId="0925709A" w14:textId="76FA4D80" w:rsidR="00200D78" w:rsidRPr="00F17BB1" w:rsidRDefault="00200D78" w:rsidP="004C0FB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Rodzaje posiedzeń sądowych.</w:t>
      </w:r>
    </w:p>
    <w:p w14:paraId="61EFBA09" w14:textId="6653DB29" w:rsidR="00200D78" w:rsidRPr="00F17BB1" w:rsidRDefault="00200D78" w:rsidP="004C0FB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Rozpoznanie sprawy na posiedzeniu niejawnym w trybie art. 148</w:t>
      </w:r>
      <w:r w:rsidRPr="00F17BB1">
        <w:rPr>
          <w:rFonts w:ascii="Garamond" w:hAnsi="Garamond"/>
          <w:sz w:val="26"/>
          <w:szCs w:val="26"/>
          <w:vertAlign w:val="superscript"/>
        </w:rPr>
        <w:t xml:space="preserve">1 </w:t>
      </w:r>
      <w:r w:rsidRPr="00F17BB1">
        <w:rPr>
          <w:rFonts w:ascii="Garamond" w:hAnsi="Garamond"/>
          <w:sz w:val="26"/>
          <w:szCs w:val="26"/>
        </w:rPr>
        <w:t>k.p.c.</w:t>
      </w:r>
    </w:p>
    <w:p w14:paraId="10287B0F" w14:textId="06A1E34D" w:rsidR="001453FF" w:rsidRPr="00F17BB1" w:rsidRDefault="001453FF" w:rsidP="004C0FB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Posiedzenie przy drzwiach zamkniętych.</w:t>
      </w:r>
    </w:p>
    <w:p w14:paraId="234A8A57" w14:textId="14697B35" w:rsidR="001453FF" w:rsidRPr="00F17BB1" w:rsidRDefault="001453FF" w:rsidP="004C0FB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Zastrzeżenie do protokołu – cel i termin.</w:t>
      </w:r>
    </w:p>
    <w:p w14:paraId="172BCFE1" w14:textId="7A0767C9" w:rsidR="004C0FB1" w:rsidRPr="00F17BB1" w:rsidRDefault="004C0FB1" w:rsidP="004C0FB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Zawiadamianie o terminach posiedzeń. </w:t>
      </w:r>
    </w:p>
    <w:p w14:paraId="7E2800A8" w14:textId="0989FFFA" w:rsidR="004C0FB1" w:rsidRPr="00F17BB1" w:rsidRDefault="004C0FB1" w:rsidP="004C0FB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Przygotowanie rozprawy.</w:t>
      </w:r>
    </w:p>
    <w:p w14:paraId="36217E88" w14:textId="7E93055A" w:rsidR="004C0FB1" w:rsidRPr="00F17BB1" w:rsidRDefault="004C0FB1" w:rsidP="004C0FB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Przebieg rozprawy.</w:t>
      </w:r>
    </w:p>
    <w:p w14:paraId="1DF82532" w14:textId="61BB89DF" w:rsidR="004C0FB1" w:rsidRPr="00F17BB1" w:rsidRDefault="004C0FB1" w:rsidP="004C0FB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Odroczenie rozprawy. </w:t>
      </w:r>
    </w:p>
    <w:p w14:paraId="48544ED3" w14:textId="77777777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Terminy: </w:t>
      </w:r>
    </w:p>
    <w:p w14:paraId="4FDB528E" w14:textId="0F57E652" w:rsidR="004C0FB1" w:rsidRPr="00F17BB1" w:rsidRDefault="004C0FB1" w:rsidP="004C0FB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Rodzaje i charakterystyka terminów w postępowaniu cywilnym. </w:t>
      </w:r>
    </w:p>
    <w:p w14:paraId="540127F3" w14:textId="609F3A60" w:rsidR="004C0FB1" w:rsidRPr="00F17BB1" w:rsidRDefault="004C0FB1" w:rsidP="004C0FB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Przesłanki przywrócenia terminu. </w:t>
      </w:r>
    </w:p>
    <w:p w14:paraId="4BBC4A64" w14:textId="6635F008" w:rsidR="001453FF" w:rsidRPr="00F17BB1" w:rsidRDefault="001453FF" w:rsidP="001453FF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Obliczanie terminów w postępowaniu cywilnym.</w:t>
      </w:r>
    </w:p>
    <w:p w14:paraId="299AA5C8" w14:textId="66BF8148" w:rsidR="001453FF" w:rsidRPr="00F17BB1" w:rsidRDefault="001453FF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>Zawieszenie i umorzenie postępowania cywilnego.</w:t>
      </w:r>
    </w:p>
    <w:p w14:paraId="438BBD30" w14:textId="4D676B33" w:rsidR="001453FF" w:rsidRPr="00F17BB1" w:rsidRDefault="001453FF" w:rsidP="00EA37D8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Różnica pomiędzy zawieszeniem a umorzeniem postępowania cywilnego.</w:t>
      </w:r>
    </w:p>
    <w:p w14:paraId="74E00933" w14:textId="4B9A667E" w:rsidR="001453FF" w:rsidRPr="00F17BB1" w:rsidRDefault="001453FF" w:rsidP="00EA37D8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Zawieszenie na wniosek stron.</w:t>
      </w:r>
    </w:p>
    <w:p w14:paraId="1FB8D4EA" w14:textId="4C69F8F8" w:rsidR="001453FF" w:rsidRPr="00F17BB1" w:rsidRDefault="001453FF" w:rsidP="00EA37D8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Bieg terminów w trakcie zawieszenia postępowania.</w:t>
      </w:r>
    </w:p>
    <w:p w14:paraId="2E6C76BA" w14:textId="5618E673" w:rsidR="001453FF" w:rsidRPr="00F17BB1" w:rsidRDefault="001453FF" w:rsidP="00EA37D8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Skutki umorzenia zawieszonego postępowania. </w:t>
      </w:r>
    </w:p>
    <w:p w14:paraId="5D708F21" w14:textId="3E464A3C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Mediacja: </w:t>
      </w:r>
    </w:p>
    <w:p w14:paraId="35F7EA18" w14:textId="255FC74F" w:rsidR="004C0FB1" w:rsidRPr="00F17BB1" w:rsidRDefault="004C0FB1" w:rsidP="004C0FB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Cel i istota mediacji.</w:t>
      </w:r>
    </w:p>
    <w:p w14:paraId="3FE06F5A" w14:textId="6A3699A8" w:rsidR="004C0FB1" w:rsidRPr="00F17BB1" w:rsidRDefault="004C0FB1" w:rsidP="004C0FB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Podstawa prawna mediacji. </w:t>
      </w:r>
    </w:p>
    <w:p w14:paraId="04229B28" w14:textId="427542E2" w:rsidR="004C0FB1" w:rsidRPr="00F17BB1" w:rsidRDefault="004C0FB1" w:rsidP="004C0FB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Mediator.</w:t>
      </w:r>
    </w:p>
    <w:p w14:paraId="26ED0643" w14:textId="15D2542D" w:rsidR="004C0FB1" w:rsidRPr="00F17BB1" w:rsidRDefault="004C0FB1" w:rsidP="004C0FB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Skutek prawny zawarcia ugody mediacji. </w:t>
      </w:r>
    </w:p>
    <w:p w14:paraId="5FD57F9B" w14:textId="77777777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lastRenderedPageBreak/>
        <w:t xml:space="preserve">Pozew i powództwo: </w:t>
      </w:r>
    </w:p>
    <w:p w14:paraId="728367B6" w14:textId="72131E58" w:rsidR="004C0FB1" w:rsidRPr="00F17BB1" w:rsidRDefault="004C0FB1" w:rsidP="004C0FB1">
      <w:pPr>
        <w:pStyle w:val="Akapitzlist"/>
        <w:numPr>
          <w:ilvl w:val="0"/>
          <w:numId w:val="15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Różnica między pozwem a powództwem. </w:t>
      </w:r>
    </w:p>
    <w:p w14:paraId="38CE231B" w14:textId="7E3C90DE" w:rsidR="004C0FB1" w:rsidRPr="00F17BB1" w:rsidRDefault="004C0FB1" w:rsidP="004C0FB1">
      <w:pPr>
        <w:pStyle w:val="Akapitzlist"/>
        <w:numPr>
          <w:ilvl w:val="0"/>
          <w:numId w:val="15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Rodzaje powództw. </w:t>
      </w:r>
    </w:p>
    <w:p w14:paraId="0CFC1162" w14:textId="3161C194" w:rsidR="001453FF" w:rsidRPr="00F17BB1" w:rsidRDefault="001453FF" w:rsidP="004C0FB1">
      <w:pPr>
        <w:pStyle w:val="Akapitzlist"/>
        <w:numPr>
          <w:ilvl w:val="0"/>
          <w:numId w:val="15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Oczywista bezzasadność powództwa.</w:t>
      </w:r>
    </w:p>
    <w:p w14:paraId="15FD8FD5" w14:textId="72E83F68" w:rsidR="001453FF" w:rsidRPr="00F17BB1" w:rsidRDefault="001453FF" w:rsidP="004C0FB1">
      <w:pPr>
        <w:pStyle w:val="Akapitzlist"/>
        <w:numPr>
          <w:ilvl w:val="0"/>
          <w:numId w:val="15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Przedmiotowa zmiana powództwa.</w:t>
      </w:r>
    </w:p>
    <w:p w14:paraId="0FF2275D" w14:textId="0D5A4647" w:rsidR="004C0FB1" w:rsidRPr="00F17BB1" w:rsidRDefault="004C0FB1" w:rsidP="004C0FB1">
      <w:pPr>
        <w:pStyle w:val="Akapitzlist"/>
        <w:numPr>
          <w:ilvl w:val="0"/>
          <w:numId w:val="15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Odpowiedź na pozew. </w:t>
      </w:r>
    </w:p>
    <w:p w14:paraId="4B24260F" w14:textId="14CA11BF" w:rsidR="004C0FB1" w:rsidRPr="00F17BB1" w:rsidRDefault="004C0FB1" w:rsidP="004C0FB1">
      <w:pPr>
        <w:pStyle w:val="Akapitzlist"/>
        <w:numPr>
          <w:ilvl w:val="0"/>
          <w:numId w:val="15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Pojęcie pozwu i warunki formalne pozwu. </w:t>
      </w:r>
    </w:p>
    <w:p w14:paraId="3ADF9A89" w14:textId="41EB4490" w:rsidR="004C0FB1" w:rsidRPr="00F17BB1" w:rsidRDefault="004C0FB1" w:rsidP="004C0FB1">
      <w:pPr>
        <w:pStyle w:val="Akapitzlist"/>
        <w:numPr>
          <w:ilvl w:val="0"/>
          <w:numId w:val="15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Skutki prawne doręczenia pozwu pozwanemu. </w:t>
      </w:r>
    </w:p>
    <w:p w14:paraId="2B3E7002" w14:textId="3C4DBF11" w:rsidR="004C0FB1" w:rsidRPr="00F17BB1" w:rsidRDefault="004C0FB1" w:rsidP="004C0FB1">
      <w:pPr>
        <w:pStyle w:val="Akapitzlist"/>
        <w:numPr>
          <w:ilvl w:val="0"/>
          <w:numId w:val="15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Odrzucenie pozwu. </w:t>
      </w:r>
    </w:p>
    <w:p w14:paraId="7ED8EF21" w14:textId="77777777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Dowody i postępowanie dowodowe: </w:t>
      </w:r>
    </w:p>
    <w:p w14:paraId="2C151CEE" w14:textId="2034E1EF" w:rsidR="004C0FB1" w:rsidRPr="00F17B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Etapy postępowanie dowodowego. </w:t>
      </w:r>
    </w:p>
    <w:p w14:paraId="19EB8826" w14:textId="236FFA32" w:rsidR="004C0FB1" w:rsidRPr="00F17B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Fakty niepodlegające dowodzeniu (4 rodzaje). </w:t>
      </w:r>
    </w:p>
    <w:p w14:paraId="6292A3E2" w14:textId="56561F42" w:rsidR="004C0FB1" w:rsidRPr="00F17B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Pojęcie i rodzaje domniemań. </w:t>
      </w:r>
    </w:p>
    <w:p w14:paraId="34136871" w14:textId="4EC1F208" w:rsidR="004C0FB1" w:rsidRPr="00F17B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Zasada swobodnej oceny dowodów</w:t>
      </w:r>
      <w:r w:rsidR="00CF1582" w:rsidRPr="00F17BB1">
        <w:rPr>
          <w:rFonts w:ascii="Garamond" w:hAnsi="Garamond"/>
          <w:sz w:val="26"/>
          <w:szCs w:val="26"/>
        </w:rPr>
        <w:t>.</w:t>
      </w:r>
    </w:p>
    <w:p w14:paraId="2CD56D9C" w14:textId="385F7761" w:rsidR="004C0FB1" w:rsidRPr="00F17B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Przeprowadzenie dowodu. </w:t>
      </w:r>
    </w:p>
    <w:p w14:paraId="4290A01C" w14:textId="619F11A7" w:rsidR="004C0FB1" w:rsidRPr="00F17B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Dowód z dokumentu . </w:t>
      </w:r>
    </w:p>
    <w:p w14:paraId="0E850A44" w14:textId="07049345" w:rsidR="004C0FB1" w:rsidRPr="00F17B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Dowód z zeznania świadka.</w:t>
      </w:r>
    </w:p>
    <w:p w14:paraId="6BC033A4" w14:textId="65A0D3DC" w:rsidR="004C0FB1" w:rsidRPr="00F17B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Dowód z opinii biegłego. </w:t>
      </w:r>
    </w:p>
    <w:p w14:paraId="1643D2A6" w14:textId="29126104" w:rsidR="004C0FB1" w:rsidRPr="00F17B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Oględziny.</w:t>
      </w:r>
    </w:p>
    <w:p w14:paraId="4AA48885" w14:textId="35CB7D38" w:rsidR="004C0FB1" w:rsidRPr="00F17B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Dowód z przesłuchania stron.</w:t>
      </w:r>
    </w:p>
    <w:p w14:paraId="61BD839F" w14:textId="49D1259C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Orzeczenia sądu: </w:t>
      </w:r>
    </w:p>
    <w:p w14:paraId="4F14A931" w14:textId="3D3BDC19" w:rsidR="004C0FB1" w:rsidRPr="00F17BB1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Rodzaje orzeczeń sądu. </w:t>
      </w:r>
    </w:p>
    <w:p w14:paraId="61BBAC5C" w14:textId="78060E0C" w:rsidR="004C0FB1" w:rsidRPr="00F17BB1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Pojęcie i istota wyroku. </w:t>
      </w:r>
    </w:p>
    <w:p w14:paraId="0626C0B2" w14:textId="3A9D4BC2" w:rsidR="004C0FB1" w:rsidRPr="00F17BB1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Rodzaje wyroków. </w:t>
      </w:r>
    </w:p>
    <w:p w14:paraId="0305FD26" w14:textId="00A21770" w:rsidR="004C0FB1" w:rsidRPr="00F17BB1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Cechy charakterystyczne wyroku zaocznego. </w:t>
      </w:r>
    </w:p>
    <w:p w14:paraId="38A30474" w14:textId="110467A2" w:rsidR="004C0FB1" w:rsidRPr="00F17BB1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Zasady wyrokowania i ogłoszenie wyroku. </w:t>
      </w:r>
    </w:p>
    <w:p w14:paraId="63D8D961" w14:textId="31CCF6EE" w:rsidR="004C0FB1" w:rsidRPr="00F17BB1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Moc wiążąca wyroku. </w:t>
      </w:r>
    </w:p>
    <w:p w14:paraId="6EC0C8A9" w14:textId="7D2E773E" w:rsidR="004C0FB1" w:rsidRPr="00F17BB1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Pojęcie, istota i rodzaje postanowień sądu. </w:t>
      </w:r>
    </w:p>
    <w:p w14:paraId="16A627AD" w14:textId="4DC76FFC" w:rsidR="004C0FB1" w:rsidRPr="00F17BB1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Prawomocność orzeczeń. </w:t>
      </w:r>
    </w:p>
    <w:p w14:paraId="2719A8EB" w14:textId="1E72013C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Środki odwoławcze: </w:t>
      </w:r>
    </w:p>
    <w:p w14:paraId="4237A8C5" w14:textId="6D7D4A51" w:rsidR="004C0FB1" w:rsidRPr="00F17BB1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Apelacja - od jakich orzeczeń przysługuje.</w:t>
      </w:r>
    </w:p>
    <w:p w14:paraId="0277BC65" w14:textId="306F50B9" w:rsidR="004C0FB1" w:rsidRPr="00F17BB1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Termin i zasady wnoszenia apelacji. </w:t>
      </w:r>
    </w:p>
    <w:p w14:paraId="1FB0CA02" w14:textId="56CAEF1C" w:rsidR="004C0FB1" w:rsidRPr="00F17BB1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Zażalenie - od jakich orzeczeń przysługuje. </w:t>
      </w:r>
    </w:p>
    <w:p w14:paraId="300A12E5" w14:textId="7B1ED56F" w:rsidR="004C0FB1" w:rsidRPr="00F17B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F17BB1">
        <w:rPr>
          <w:rFonts w:ascii="Garamond" w:hAnsi="Garamond"/>
          <w:b/>
          <w:bCs/>
          <w:sz w:val="26"/>
          <w:szCs w:val="26"/>
        </w:rPr>
        <w:t xml:space="preserve">Nadzwyczajne środki zaskarżenia: </w:t>
      </w:r>
    </w:p>
    <w:p w14:paraId="0FA55284" w14:textId="6DD353B3" w:rsidR="004C0FB1" w:rsidRPr="00F17BB1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Skarga kasacyjna – od jakich orzeczeń przysługuje. </w:t>
      </w:r>
    </w:p>
    <w:p w14:paraId="4AF6B07B" w14:textId="74ED5E27" w:rsidR="004C0FB1" w:rsidRPr="00F17BB1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 xml:space="preserve">Termin i zasady wnoszenia skargi kasacyjnej. </w:t>
      </w:r>
    </w:p>
    <w:p w14:paraId="64BA4AC4" w14:textId="16665635" w:rsidR="004C0FB1" w:rsidRPr="00F17BB1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Niedopuszczalność wniesienia skargi kasacyjnej.</w:t>
      </w:r>
    </w:p>
    <w:p w14:paraId="6BA6D44B" w14:textId="728E2694" w:rsidR="008B6E5F" w:rsidRPr="00F17BB1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F17BB1">
        <w:rPr>
          <w:rFonts w:ascii="Garamond" w:hAnsi="Garamond"/>
          <w:sz w:val="26"/>
          <w:szCs w:val="26"/>
        </w:rPr>
        <w:t>Oddalenie i uwzględnienie skargi kasacyjnej.</w:t>
      </w:r>
    </w:p>
    <w:sectPr w:rsidR="008B6E5F" w:rsidRPr="00F17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8BCD" w14:textId="77777777" w:rsidR="00632B79" w:rsidRDefault="00632B79" w:rsidP="004C0FB1">
      <w:pPr>
        <w:spacing w:after="0" w:line="240" w:lineRule="auto"/>
      </w:pPr>
      <w:r>
        <w:separator/>
      </w:r>
    </w:p>
  </w:endnote>
  <w:endnote w:type="continuationSeparator" w:id="0">
    <w:p w14:paraId="75807F4C" w14:textId="77777777" w:rsidR="00632B79" w:rsidRDefault="00632B79" w:rsidP="004C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56B3" w14:textId="77777777" w:rsidR="00632B79" w:rsidRDefault="00632B79" w:rsidP="004C0FB1">
      <w:pPr>
        <w:spacing w:after="0" w:line="240" w:lineRule="auto"/>
      </w:pPr>
      <w:r>
        <w:separator/>
      </w:r>
    </w:p>
  </w:footnote>
  <w:footnote w:type="continuationSeparator" w:id="0">
    <w:p w14:paraId="3887AA99" w14:textId="77777777" w:rsidR="00632B79" w:rsidRDefault="00632B79" w:rsidP="004C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702B" w14:textId="77777777" w:rsidR="004C0FB1" w:rsidRPr="004C0FB1" w:rsidRDefault="004C0FB1" w:rsidP="004C0FB1">
    <w:pPr>
      <w:jc w:val="center"/>
      <w:rPr>
        <w:rFonts w:ascii="Garamond" w:hAnsi="Garamond"/>
        <w:b/>
        <w:bCs/>
        <w:sz w:val="26"/>
        <w:szCs w:val="26"/>
      </w:rPr>
    </w:pPr>
    <w:r w:rsidRPr="004C0FB1">
      <w:rPr>
        <w:rFonts w:ascii="Garamond" w:hAnsi="Garamond"/>
        <w:b/>
        <w:bCs/>
        <w:sz w:val="26"/>
        <w:szCs w:val="26"/>
      </w:rPr>
      <w:t xml:space="preserve">Katedra Postępowania Cywilnego </w:t>
    </w:r>
    <w:r>
      <w:rPr>
        <w:rFonts w:ascii="Garamond" w:hAnsi="Garamond"/>
        <w:b/>
        <w:bCs/>
        <w:sz w:val="26"/>
        <w:szCs w:val="26"/>
      </w:rPr>
      <w:t>i Ochrony Prawnej</w:t>
    </w:r>
  </w:p>
  <w:p w14:paraId="6F40509E" w14:textId="34F18B6F" w:rsidR="004C0FB1" w:rsidRPr="004C0FB1" w:rsidRDefault="004C0FB1" w:rsidP="004C0FB1">
    <w:pPr>
      <w:pStyle w:val="Nagwek"/>
      <w:jc w:val="center"/>
      <w:rPr>
        <w:rFonts w:ascii="Garamond" w:hAnsi="Garamond"/>
      </w:rPr>
    </w:pPr>
    <w:r w:rsidRPr="004C0FB1">
      <w:rPr>
        <w:rFonts w:ascii="Garamond" w:hAnsi="Garamond"/>
      </w:rPr>
      <w:t xml:space="preserve">dr hab. Jarosław Szczechowicz, prof. UWM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0FD"/>
    <w:multiLevelType w:val="hybridMultilevel"/>
    <w:tmpl w:val="CF1050A6"/>
    <w:lvl w:ilvl="0" w:tplc="C7FE0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4E3"/>
    <w:multiLevelType w:val="hybridMultilevel"/>
    <w:tmpl w:val="F79E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6AB"/>
    <w:multiLevelType w:val="hybridMultilevel"/>
    <w:tmpl w:val="362238C2"/>
    <w:lvl w:ilvl="0" w:tplc="160E7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5258"/>
    <w:multiLevelType w:val="hybridMultilevel"/>
    <w:tmpl w:val="64826586"/>
    <w:lvl w:ilvl="0" w:tplc="3420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2B87"/>
    <w:multiLevelType w:val="hybridMultilevel"/>
    <w:tmpl w:val="461C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658E"/>
    <w:multiLevelType w:val="hybridMultilevel"/>
    <w:tmpl w:val="5594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1CDF"/>
    <w:multiLevelType w:val="hybridMultilevel"/>
    <w:tmpl w:val="178C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6949"/>
    <w:multiLevelType w:val="hybridMultilevel"/>
    <w:tmpl w:val="0BFAB55E"/>
    <w:lvl w:ilvl="0" w:tplc="3420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2D7"/>
    <w:multiLevelType w:val="hybridMultilevel"/>
    <w:tmpl w:val="E4E8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4CC4"/>
    <w:multiLevelType w:val="hybridMultilevel"/>
    <w:tmpl w:val="3A96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36CBA"/>
    <w:multiLevelType w:val="hybridMultilevel"/>
    <w:tmpl w:val="956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71280"/>
    <w:multiLevelType w:val="hybridMultilevel"/>
    <w:tmpl w:val="72F0C7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09E89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67851"/>
    <w:multiLevelType w:val="hybridMultilevel"/>
    <w:tmpl w:val="F856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F634C"/>
    <w:multiLevelType w:val="hybridMultilevel"/>
    <w:tmpl w:val="ADA4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D2169"/>
    <w:multiLevelType w:val="hybridMultilevel"/>
    <w:tmpl w:val="C92C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30F2"/>
    <w:multiLevelType w:val="hybridMultilevel"/>
    <w:tmpl w:val="AE02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43B3C"/>
    <w:multiLevelType w:val="hybridMultilevel"/>
    <w:tmpl w:val="54301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86255">
    <w:abstractNumId w:val="12"/>
  </w:num>
  <w:num w:numId="2" w16cid:durableId="1906797615">
    <w:abstractNumId w:val="6"/>
  </w:num>
  <w:num w:numId="3" w16cid:durableId="1247763092">
    <w:abstractNumId w:val="1"/>
  </w:num>
  <w:num w:numId="4" w16cid:durableId="1350259349">
    <w:abstractNumId w:val="10"/>
  </w:num>
  <w:num w:numId="5" w16cid:durableId="936404190">
    <w:abstractNumId w:val="16"/>
  </w:num>
  <w:num w:numId="6" w16cid:durableId="535894637">
    <w:abstractNumId w:val="15"/>
  </w:num>
  <w:num w:numId="7" w16cid:durableId="568930927">
    <w:abstractNumId w:val="11"/>
  </w:num>
  <w:num w:numId="8" w16cid:durableId="1127427553">
    <w:abstractNumId w:val="2"/>
  </w:num>
  <w:num w:numId="9" w16cid:durableId="1237084689">
    <w:abstractNumId w:val="0"/>
  </w:num>
  <w:num w:numId="10" w16cid:durableId="2057007036">
    <w:abstractNumId w:val="3"/>
  </w:num>
  <w:num w:numId="11" w16cid:durableId="414280408">
    <w:abstractNumId w:val="7"/>
  </w:num>
  <w:num w:numId="12" w16cid:durableId="1845782830">
    <w:abstractNumId w:val="4"/>
  </w:num>
  <w:num w:numId="13" w16cid:durableId="1124347780">
    <w:abstractNumId w:val="8"/>
  </w:num>
  <w:num w:numId="14" w16cid:durableId="1062602700">
    <w:abstractNumId w:val="14"/>
  </w:num>
  <w:num w:numId="15" w16cid:durableId="1329989816">
    <w:abstractNumId w:val="13"/>
  </w:num>
  <w:num w:numId="16" w16cid:durableId="1640108107">
    <w:abstractNumId w:val="5"/>
  </w:num>
  <w:num w:numId="17" w16cid:durableId="5454886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B1"/>
    <w:rsid w:val="00026EBE"/>
    <w:rsid w:val="00046B92"/>
    <w:rsid w:val="00116F3B"/>
    <w:rsid w:val="001453FF"/>
    <w:rsid w:val="00167120"/>
    <w:rsid w:val="00200D78"/>
    <w:rsid w:val="004C0FB1"/>
    <w:rsid w:val="005169F7"/>
    <w:rsid w:val="00632B79"/>
    <w:rsid w:val="00641251"/>
    <w:rsid w:val="00884FB4"/>
    <w:rsid w:val="008B6E5F"/>
    <w:rsid w:val="00960ECA"/>
    <w:rsid w:val="009B3172"/>
    <w:rsid w:val="00AA0491"/>
    <w:rsid w:val="00C318FF"/>
    <w:rsid w:val="00CF1582"/>
    <w:rsid w:val="00E25750"/>
    <w:rsid w:val="00EA37D8"/>
    <w:rsid w:val="00F1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7CE8"/>
  <w15:chartTrackingRefBased/>
  <w15:docId w15:val="{EED8BCD7-E73C-4AB3-B221-C9247BF7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arial 10"/>
    <w:next w:val="Normalny"/>
    <w:link w:val="TytuZnak"/>
    <w:autoRedefine/>
    <w:qFormat/>
    <w:rsid w:val="00641251"/>
    <w:pPr>
      <w:spacing w:after="0" w:line="240" w:lineRule="auto"/>
      <w:jc w:val="center"/>
    </w:pPr>
    <w:rPr>
      <w:rFonts w:ascii="Arial" w:eastAsia="Times New Roman" w:hAnsi="Arial"/>
      <w:b/>
      <w:bCs/>
      <w:iCs/>
      <w:smallCaps/>
      <w:szCs w:val="26"/>
      <w:lang w:val="x-none"/>
    </w:rPr>
  </w:style>
  <w:style w:type="character" w:customStyle="1" w:styleId="TytuZnak">
    <w:name w:val="Tytuł Znak"/>
    <w:aliases w:val="arial 10 Znak"/>
    <w:link w:val="Tytu"/>
    <w:rsid w:val="00641251"/>
    <w:rPr>
      <w:rFonts w:ascii="Arial" w:eastAsia="Times New Roman" w:hAnsi="Arial"/>
      <w:b/>
      <w:bCs/>
      <w:iCs/>
      <w:smallCaps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4C0F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B1"/>
  </w:style>
  <w:style w:type="paragraph" w:styleId="Stopka">
    <w:name w:val="footer"/>
    <w:basedOn w:val="Normalny"/>
    <w:link w:val="StopkaZnak"/>
    <w:uiPriority w:val="99"/>
    <w:unhideWhenUsed/>
    <w:rsid w:val="004C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K</dc:creator>
  <cp:keywords/>
  <dc:description/>
  <cp:lastModifiedBy>Hanna Frąckowiak</cp:lastModifiedBy>
  <cp:revision>3</cp:revision>
  <cp:lastPrinted>2021-05-05T11:08:00Z</cp:lastPrinted>
  <dcterms:created xsi:type="dcterms:W3CDTF">2023-05-09T10:57:00Z</dcterms:created>
  <dcterms:modified xsi:type="dcterms:W3CDTF">2023-05-10T06:46:00Z</dcterms:modified>
</cp:coreProperties>
</file>