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865E" w14:textId="77777777" w:rsidR="007B13A0" w:rsidRPr="002112EF" w:rsidRDefault="007B13A0" w:rsidP="007B13A0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2EF">
        <w:rPr>
          <w:rFonts w:ascii="Times New Roman" w:hAnsi="Times New Roman" w:cs="Times New Roman"/>
          <w:b/>
          <w:bCs/>
          <w:sz w:val="24"/>
          <w:szCs w:val="24"/>
        </w:rPr>
        <w:t>Postępowanie karne</w:t>
      </w:r>
    </w:p>
    <w:p w14:paraId="128E8796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Formy procesu karnego</w:t>
      </w:r>
    </w:p>
    <w:p w14:paraId="00F44B41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Podstawowe zasady procesu karnego</w:t>
      </w:r>
    </w:p>
    <w:p w14:paraId="36F7B436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Pojęcie, rola i znaczenie przesłanek procesowych </w:t>
      </w:r>
    </w:p>
    <w:p w14:paraId="57C94CEA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Przesłanki wyłączenia sędziego </w:t>
      </w:r>
    </w:p>
    <w:p w14:paraId="60989562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Strony postępowania przygotowawczego</w:t>
      </w:r>
    </w:p>
    <w:p w14:paraId="58A7AB6A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Strony postępowania  jurysdykcyjnego</w:t>
      </w:r>
    </w:p>
    <w:p w14:paraId="3367E10B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Zasada prawa do obrony. Prawo do obrony w aspekcie formalnym i materialnym</w:t>
      </w:r>
    </w:p>
    <w:p w14:paraId="33312D2D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Zatrzymanie rodzaje, podstawy i środki zaskarżenia</w:t>
      </w:r>
    </w:p>
    <w:p w14:paraId="009EEA73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Procesowi przedstawiciele stron</w:t>
      </w:r>
    </w:p>
    <w:p w14:paraId="6B94DBBF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Prawa i obowiązki oskarżonego </w:t>
      </w:r>
    </w:p>
    <w:p w14:paraId="48BF2167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Prawa i obowiązki pokrzywdzonego </w:t>
      </w:r>
    </w:p>
    <w:p w14:paraId="67714AE7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Prawa i obowiązki świadka</w:t>
      </w:r>
    </w:p>
    <w:p w14:paraId="00535BA2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Charakterystyka orzeczeń, zarządzeń i poleceń </w:t>
      </w:r>
    </w:p>
    <w:p w14:paraId="18EF15EB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Charakterystyka terminów procesowych </w:t>
      </w:r>
    </w:p>
    <w:p w14:paraId="27289777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Formy dokumentowania czynności procesowych </w:t>
      </w:r>
    </w:p>
    <w:p w14:paraId="5B476FD3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Pojęcie i rodzaje dowodów w postępowaniu karnym </w:t>
      </w:r>
    </w:p>
    <w:p w14:paraId="5E99DB86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Wprowadzanie dowodów do procesu karnego</w:t>
      </w:r>
    </w:p>
    <w:p w14:paraId="4F8796C5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Dowód z zeznań świadka i wyjaśnień oskarżonego </w:t>
      </w:r>
    </w:p>
    <w:p w14:paraId="1FAFDD68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Metodyka przesłuchania w świetle przepisów k.p.k.</w:t>
      </w:r>
    </w:p>
    <w:p w14:paraId="38CDB074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Dostęp do akt postępowania w procesie karnym</w:t>
      </w:r>
      <w:r w:rsidRPr="008A6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2B88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Procesowa instytucja biegłego, zasady powoływania biegłych i wymogi opinii </w:t>
      </w:r>
    </w:p>
    <w:p w14:paraId="364DCEA2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Oględziny jako czynność procesowa (rodzaje, zasady przeprowadzania)</w:t>
      </w:r>
    </w:p>
    <w:p w14:paraId="61FCE89A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Charakterystyka i przebieg eksperymentu procesowego </w:t>
      </w:r>
    </w:p>
    <w:p w14:paraId="3E744E49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Okazanie – rodzaje, charakterystyka i zasady przeprowadzania </w:t>
      </w:r>
    </w:p>
    <w:p w14:paraId="0EEC2768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Konfrontacja jako szczególna forma przesłuchania </w:t>
      </w:r>
    </w:p>
    <w:p w14:paraId="14B06EF1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Charakterystyka i przebieg przeszukania</w:t>
      </w:r>
    </w:p>
    <w:p w14:paraId="4F9CC2D4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Środki zapobiegawcze i ich charakterystyka </w:t>
      </w:r>
    </w:p>
    <w:p w14:paraId="4BEB3075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Tymczasowe aresztowanie</w:t>
      </w:r>
    </w:p>
    <w:p w14:paraId="18AED27F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D5E">
        <w:rPr>
          <w:rFonts w:ascii="Times New Roman" w:hAnsi="Times New Roman" w:cs="Times New Roman"/>
          <w:sz w:val="24"/>
          <w:szCs w:val="24"/>
        </w:rPr>
        <w:t>Nieizolacyjne</w:t>
      </w:r>
      <w:proofErr w:type="spellEnd"/>
      <w:r w:rsidRPr="008A6D5E">
        <w:rPr>
          <w:rFonts w:ascii="Times New Roman" w:hAnsi="Times New Roman" w:cs="Times New Roman"/>
          <w:sz w:val="24"/>
          <w:szCs w:val="24"/>
        </w:rPr>
        <w:t xml:space="preserve"> środki zapobiegawcze </w:t>
      </w:r>
    </w:p>
    <w:p w14:paraId="05CE0B63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Zabezpieczenie majątkowe</w:t>
      </w:r>
    </w:p>
    <w:p w14:paraId="4C977FC0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Kary porządkowe</w:t>
      </w:r>
    </w:p>
    <w:p w14:paraId="6B0CB7B9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Wszczęcie postępowania przygotowawczego</w:t>
      </w:r>
    </w:p>
    <w:p w14:paraId="61F11F47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lastRenderedPageBreak/>
        <w:t xml:space="preserve">Cele i formy </w:t>
      </w:r>
      <w:r w:rsidRPr="008A6D5E">
        <w:rPr>
          <w:rFonts w:ascii="Times New Roman" w:hAnsi="Times New Roman" w:cs="Times New Roman"/>
          <w:sz w:val="24"/>
          <w:szCs w:val="24"/>
        </w:rPr>
        <w:t>postępowania przygotowawczego</w:t>
      </w:r>
    </w:p>
    <w:p w14:paraId="7A49D65C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Rola sądu w stadium postępowania przygotowawczego</w:t>
      </w:r>
    </w:p>
    <w:p w14:paraId="7DB17304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Skarga zasadnicza – akt oskarżenia i jego znaczenie</w:t>
      </w:r>
    </w:p>
    <w:p w14:paraId="1B965A5D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Formalna i merytoryczna kontrola oskarżenia</w:t>
      </w:r>
    </w:p>
    <w:p w14:paraId="721569A3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Część wstępna rozprawy głównej</w:t>
      </w:r>
    </w:p>
    <w:p w14:paraId="3A8299D6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Przewód sądowy</w:t>
      </w:r>
    </w:p>
    <w:p w14:paraId="3F5477E4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Przebieg narady sędziowskiej, głosowanie i sporządzanie wyroku</w:t>
      </w:r>
    </w:p>
    <w:p w14:paraId="268834CE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 xml:space="preserve">Zasada domniemania niewinności i in dubio pro </w:t>
      </w:r>
      <w:proofErr w:type="spellStart"/>
      <w:r w:rsidRPr="008A6D5E">
        <w:rPr>
          <w:rFonts w:ascii="Times New Roman" w:hAnsi="Times New Roman"/>
          <w:sz w:val="24"/>
          <w:szCs w:val="24"/>
        </w:rPr>
        <w:t>reo</w:t>
      </w:r>
      <w:proofErr w:type="spellEnd"/>
    </w:p>
    <w:p w14:paraId="525E878B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Subsydiarny akt oskarżenia</w:t>
      </w:r>
    </w:p>
    <w:p w14:paraId="0F82CEFE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 xml:space="preserve"> Zakazy dowodowe - pojęcie, zakazy zupełne i niezupełne, względne i bezwzględne</w:t>
      </w:r>
    </w:p>
    <w:p w14:paraId="284BA48A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Zasada prawdy materialnej. Ograniczenia w dokonywaniu prawdziwych ustaleń faktycznych</w:t>
      </w:r>
    </w:p>
    <w:p w14:paraId="78F419CC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Źródło dowodowe i środek dowodowy. Wprowadzanie dowodów do procesu karnego i ich ocena</w:t>
      </w:r>
    </w:p>
    <w:p w14:paraId="478E94E1" w14:textId="7EC266F0" w:rsidR="007B13A0" w:rsidRPr="008A6D5E" w:rsidRDefault="001B5C0E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gończy</w:t>
      </w:r>
    </w:p>
    <w:p w14:paraId="43F259A0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Dobrowolne poddanie się odpowiedzialności karnej - cel instytucji, przesłanki zastosowania, tryb orzekania, uprawnienia oskarżonego, prokuratora i pokrzywdzonego</w:t>
      </w:r>
    </w:p>
    <w:p w14:paraId="43651974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 xml:space="preserve">Pojęcie i rodzaje środków zaskarżenia </w:t>
      </w:r>
    </w:p>
    <w:p w14:paraId="188E582D" w14:textId="77777777" w:rsidR="007B13A0" w:rsidRPr="008A6D5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Apelacja jako środek zaskarżenia</w:t>
      </w:r>
    </w:p>
    <w:p w14:paraId="27D97271" w14:textId="2D8E8B28" w:rsidR="007B13A0" w:rsidRPr="008A6D5E" w:rsidRDefault="000E6872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Wyjaśnienia oskarżonego </w:t>
      </w:r>
    </w:p>
    <w:p w14:paraId="5C082673" w14:textId="77777777" w:rsidR="007B13A0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6D5E">
        <w:rPr>
          <w:rFonts w:ascii="Times New Roman" w:hAnsi="Times New Roman"/>
          <w:sz w:val="24"/>
          <w:szCs w:val="24"/>
        </w:rPr>
        <w:t>Wznowienie postępowania jako nadzwyczajny środek zaskarżenia</w:t>
      </w:r>
    </w:p>
    <w:p w14:paraId="3FB7FBF8" w14:textId="11860CC7" w:rsidR="007B13A0" w:rsidRPr="00C50052" w:rsidRDefault="008C00C9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Świadek anonimowy</w:t>
      </w:r>
    </w:p>
    <w:p w14:paraId="104A2C0B" w14:textId="77777777" w:rsidR="007B13A0" w:rsidRPr="0035346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List żelazny</w:t>
      </w:r>
      <w:r w:rsidRPr="00353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08885866" w14:textId="77777777" w:rsidR="007B13A0" w:rsidRPr="0035346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Podstawy kasacji</w:t>
      </w:r>
    </w:p>
    <w:p w14:paraId="71B3EF95" w14:textId="77777777" w:rsidR="007B13A0" w:rsidRPr="0035346E" w:rsidRDefault="007B13A0" w:rsidP="007B1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Wyznaczenie obrońcy z urzędu</w:t>
      </w:r>
    </w:p>
    <w:p w14:paraId="1EFB1F9E" w14:textId="77777777" w:rsidR="007B13A0" w:rsidRPr="008A6D5E" w:rsidRDefault="007B13A0" w:rsidP="007B13A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A6D5E">
        <w:rPr>
          <w:rFonts w:ascii="Times New Roman" w:hAnsi="Times New Roman" w:cs="Times New Roman"/>
          <w:b/>
          <w:bCs/>
          <w:sz w:val="24"/>
          <w:szCs w:val="24"/>
        </w:rPr>
        <w:t>Prawo karne wykonawcze</w:t>
      </w:r>
    </w:p>
    <w:p w14:paraId="22F8A6E0" w14:textId="77777777" w:rsidR="007B13A0" w:rsidRPr="008A6D5E" w:rsidRDefault="007B13A0" w:rsidP="007B13A0">
      <w:pPr>
        <w:spacing w:after="0" w:line="240" w:lineRule="auto"/>
        <w:ind w:left="360"/>
        <w:rPr>
          <w:sz w:val="24"/>
          <w:szCs w:val="24"/>
        </w:rPr>
      </w:pPr>
    </w:p>
    <w:p w14:paraId="382694E0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Skazany i jego status w postępowaniu karnym wykonawczym</w:t>
      </w:r>
    </w:p>
    <w:p w14:paraId="3B2A2360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Prawa skazanego odbywającego karę pozbawienia wolności</w:t>
      </w:r>
    </w:p>
    <w:p w14:paraId="5A9BF716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Obowiązki skazanego odbywającego karę pozbawienia wolności</w:t>
      </w:r>
    </w:p>
    <w:p w14:paraId="2C62DF56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Uczestnicy postępowania karnego wykonawczego</w:t>
      </w:r>
    </w:p>
    <w:p w14:paraId="681E9FA3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Organy postępowania  karnego wykonawczego </w:t>
      </w:r>
    </w:p>
    <w:p w14:paraId="79DF0F4C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Wszczęcie postępowania wykonawczego</w:t>
      </w:r>
    </w:p>
    <w:p w14:paraId="7D5AC3B4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Wykonalność orzeczenia, a prawomocność</w:t>
      </w:r>
    </w:p>
    <w:p w14:paraId="1E12BC37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lastRenderedPageBreak/>
        <w:t>Zawieszenie postępowania karnego wykonawczego</w:t>
      </w:r>
    </w:p>
    <w:p w14:paraId="4FCB4C24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Umorzenie postępowania  (ujemne przesłanki postępowania)</w:t>
      </w:r>
    </w:p>
    <w:p w14:paraId="4534E9D4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Zwykłe środki zaskarżenia decyzji wydanych w postępowaniu wykonawczym</w:t>
      </w:r>
    </w:p>
    <w:p w14:paraId="19FB414F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Nadzwyczajne środki zaskarżenia decyzji wydanych w postępowaniu wykonawczym</w:t>
      </w:r>
    </w:p>
    <w:p w14:paraId="57053EA0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Wzruszanie postanowień w trybie art.24 </w:t>
      </w:r>
      <w:proofErr w:type="spellStart"/>
      <w:r w:rsidRPr="008A6D5E">
        <w:rPr>
          <w:rFonts w:ascii="Times New Roman" w:hAnsi="Times New Roman" w:cs="Times New Roman"/>
          <w:sz w:val="24"/>
          <w:szCs w:val="24"/>
        </w:rPr>
        <w:t>k.k.w</w:t>
      </w:r>
      <w:proofErr w:type="spellEnd"/>
      <w:r w:rsidRPr="008A6D5E">
        <w:rPr>
          <w:rFonts w:ascii="Times New Roman" w:hAnsi="Times New Roman" w:cs="Times New Roman"/>
          <w:sz w:val="24"/>
          <w:szCs w:val="24"/>
        </w:rPr>
        <w:t>.</w:t>
      </w:r>
    </w:p>
    <w:p w14:paraId="7F407289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Rozstrzyganie wątpliwości co do wykonania orzeczenia </w:t>
      </w:r>
    </w:p>
    <w:p w14:paraId="6676FFFB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Nadzór penitencjarny</w:t>
      </w:r>
    </w:p>
    <w:p w14:paraId="7E473717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Wykonywanie kary grzywny</w:t>
      </w:r>
    </w:p>
    <w:p w14:paraId="0D1977AD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Odroczenie kary grzywny</w:t>
      </w:r>
    </w:p>
    <w:p w14:paraId="2510E750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Rozłożenie na raty kary grzywny</w:t>
      </w:r>
    </w:p>
    <w:p w14:paraId="1486BC23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Wykonywanie kary ograniczenia wolności</w:t>
      </w:r>
    </w:p>
    <w:p w14:paraId="0FEC368D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Podmioty uczestniczące w wykonywaniu kary ograniczenia wolności</w:t>
      </w:r>
    </w:p>
    <w:p w14:paraId="73F57CA9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2BBC5D80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Odroczenie wykonania kary ograniczenia wolności</w:t>
      </w:r>
    </w:p>
    <w:p w14:paraId="745BC5F2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Zamiana kary ograniczenia wolności na karę zastępczą</w:t>
      </w:r>
    </w:p>
    <w:p w14:paraId="7FC5DBEE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Pojęcie i zakres nadzoru sądowego nad wykonywaniem kary z zastosowaniem dozoru elektronicznego</w:t>
      </w:r>
    </w:p>
    <w:p w14:paraId="649345F3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Rodzaje  zakładów karnych</w:t>
      </w:r>
    </w:p>
    <w:p w14:paraId="00EF6B4D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Typy zakładów karnych</w:t>
      </w:r>
    </w:p>
    <w:p w14:paraId="7BF40B49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Systemy wykonywania kary pozbawienia wolności</w:t>
      </w:r>
    </w:p>
    <w:p w14:paraId="5C61F711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Klasyfikacja skazanych</w:t>
      </w:r>
    </w:p>
    <w:p w14:paraId="35501CD2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Ustawowe kryteria klasyfikacji skazanych</w:t>
      </w:r>
    </w:p>
    <w:p w14:paraId="5D6E6F5E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Badania </w:t>
      </w:r>
      <w:proofErr w:type="spellStart"/>
      <w:r w:rsidRPr="008A6D5E">
        <w:rPr>
          <w:rFonts w:ascii="Times New Roman" w:hAnsi="Times New Roman" w:cs="Times New Roman"/>
          <w:sz w:val="24"/>
          <w:szCs w:val="24"/>
        </w:rPr>
        <w:t>osobopoznawcze</w:t>
      </w:r>
      <w:proofErr w:type="spellEnd"/>
      <w:r w:rsidRPr="008A6D5E">
        <w:rPr>
          <w:rFonts w:ascii="Times New Roman" w:hAnsi="Times New Roman" w:cs="Times New Roman"/>
          <w:sz w:val="24"/>
          <w:szCs w:val="24"/>
        </w:rPr>
        <w:t xml:space="preserve"> w postępowaniu karnym wykonawczym</w:t>
      </w:r>
    </w:p>
    <w:p w14:paraId="70B34322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Środki oddziaływania penitencjarnego</w:t>
      </w:r>
    </w:p>
    <w:p w14:paraId="28237553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Ulgi i nagrodowy stosowane wobec skazanych odbywających karę pozbawienia wolności</w:t>
      </w:r>
    </w:p>
    <w:p w14:paraId="7358C24C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Odroczenie wykonania kary pozbawienia wolności</w:t>
      </w:r>
    </w:p>
    <w:p w14:paraId="2F22D2F3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Przerwa w wykonaniu kary ograniczenia wolności</w:t>
      </w:r>
    </w:p>
    <w:p w14:paraId="66037922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Pomoc postpenitencjarna</w:t>
      </w:r>
    </w:p>
    <w:p w14:paraId="2E4B0AC8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Uznanie środka karnego za wykonany</w:t>
      </w:r>
    </w:p>
    <w:p w14:paraId="0FE9770C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Rozdaje środków probacyjnych</w:t>
      </w:r>
    </w:p>
    <w:p w14:paraId="0A88B96A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Wykonanie wyroku, w którym warunkowo zawieszono wykonanie kary pozbawienia wolności</w:t>
      </w:r>
    </w:p>
    <w:p w14:paraId="3A3DD7DF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Wykonie wyroku, w którym warunkowo umorzono postępowanie</w:t>
      </w:r>
    </w:p>
    <w:p w14:paraId="718F60F9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lastRenderedPageBreak/>
        <w:t xml:space="preserve">Warunkowe przedterminowe zwolnienie </w:t>
      </w:r>
    </w:p>
    <w:p w14:paraId="24881DEE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Wykonywanie środka zabezpieczającego w postaci pobytu w zakładzie psychiatrycznym</w:t>
      </w:r>
    </w:p>
    <w:p w14:paraId="14F0F57A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Pojęcie i zakres nadzoru sądowego nad wykonywaniem kary z zastosowaniem dozoru elektronicznego</w:t>
      </w:r>
    </w:p>
    <w:p w14:paraId="7B05FDC4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Przesłanki udzielenia zezwolenia na wykonywanie kary z zastosowaniem dozoru elektronicznego</w:t>
      </w:r>
    </w:p>
    <w:p w14:paraId="2FE54E1A" w14:textId="77777777" w:rsidR="007B13A0" w:rsidRPr="008A6D5E" w:rsidRDefault="007B13A0" w:rsidP="007B1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Komisja penitencjarna</w:t>
      </w:r>
    </w:p>
    <w:p w14:paraId="0AF205B4" w14:textId="77777777" w:rsidR="007B13A0" w:rsidRPr="00E7769B" w:rsidRDefault="007B13A0" w:rsidP="007B13A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Odbywanie kary pozbawienia wolności przez kobiety </w:t>
      </w:r>
    </w:p>
    <w:p w14:paraId="01D17E18" w14:textId="77777777" w:rsidR="007B13A0" w:rsidRDefault="007B13A0" w:rsidP="007B1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39">
        <w:rPr>
          <w:rFonts w:ascii="Times New Roman" w:hAnsi="Times New Roman" w:cs="Times New Roman"/>
          <w:sz w:val="24"/>
          <w:szCs w:val="24"/>
        </w:rPr>
        <w:t>Tryb orzekania</w:t>
      </w:r>
      <w:r>
        <w:rPr>
          <w:rFonts w:ascii="Times New Roman" w:hAnsi="Times New Roman" w:cs="Times New Roman"/>
          <w:sz w:val="24"/>
          <w:szCs w:val="24"/>
        </w:rPr>
        <w:t xml:space="preserve"> o udzieleniu skazanemu zezwolenia na odbycie kary pozbawienia wolności w systemie dozoru elektronicznego</w:t>
      </w:r>
    </w:p>
    <w:p w14:paraId="5CDF1EEE" w14:textId="77777777" w:rsidR="007B13A0" w:rsidRPr="00645839" w:rsidRDefault="007B13A0" w:rsidP="007B1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skazanego przy wykonywaniu kary pozbawienia wolności w systemie dozoru elektronicznego</w:t>
      </w:r>
    </w:p>
    <w:p w14:paraId="203523E7" w14:textId="77777777" w:rsidR="00DC08BF" w:rsidRDefault="00DC08BF"/>
    <w:sectPr w:rsidR="00DC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C4B"/>
    <w:multiLevelType w:val="hybridMultilevel"/>
    <w:tmpl w:val="595C907E"/>
    <w:lvl w:ilvl="0" w:tplc="D1DA1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0E1F"/>
    <w:multiLevelType w:val="hybridMultilevel"/>
    <w:tmpl w:val="92F0873C"/>
    <w:lvl w:ilvl="0" w:tplc="A6F6C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6072">
    <w:abstractNumId w:val="0"/>
  </w:num>
  <w:num w:numId="2" w16cid:durableId="201460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A0"/>
    <w:rsid w:val="000832F2"/>
    <w:rsid w:val="000E6872"/>
    <w:rsid w:val="001B5C0E"/>
    <w:rsid w:val="007B13A0"/>
    <w:rsid w:val="008C00C9"/>
    <w:rsid w:val="00940D57"/>
    <w:rsid w:val="00986598"/>
    <w:rsid w:val="00D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B922"/>
  <w15:chartTrackingRefBased/>
  <w15:docId w15:val="{2F2D5D53-3CFE-4894-A15D-AC6C753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Szczechowicz</dc:creator>
  <cp:keywords/>
  <dc:description/>
  <cp:lastModifiedBy>Krystyna Szczechowicz</cp:lastModifiedBy>
  <cp:revision>6</cp:revision>
  <dcterms:created xsi:type="dcterms:W3CDTF">2023-05-15T14:49:00Z</dcterms:created>
  <dcterms:modified xsi:type="dcterms:W3CDTF">2023-05-15T14:58:00Z</dcterms:modified>
</cp:coreProperties>
</file>