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8D4" w14:textId="395789F6" w:rsidR="002112EF" w:rsidRPr="002112EF" w:rsidRDefault="002112EF" w:rsidP="002112EF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Postępowanie karne</w:t>
      </w:r>
    </w:p>
    <w:p w14:paraId="036EF7C0" w14:textId="6F5F900D" w:rsidR="008E0656" w:rsidRPr="008A6D5E" w:rsidRDefault="008E0656" w:rsidP="00CA39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Formy procesu karnego</w:t>
      </w:r>
    </w:p>
    <w:p w14:paraId="5861814C" w14:textId="02B11723" w:rsidR="008E0656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Podstawowe zasady procesu karnego</w:t>
      </w:r>
    </w:p>
    <w:p w14:paraId="76E8905B" w14:textId="5ED14C84" w:rsidR="00F34158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Pojęcie, rola i znaczenie przesłanek procesowych </w:t>
      </w:r>
    </w:p>
    <w:p w14:paraId="1EB436C9" w14:textId="1E7143A4" w:rsidR="008E0656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Przesłanki wyłączenia sędziego </w:t>
      </w:r>
    </w:p>
    <w:p w14:paraId="710BC6DC" w14:textId="15957A55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Strony postępowania przygotowawczego</w:t>
      </w:r>
    </w:p>
    <w:p w14:paraId="28045DF3" w14:textId="77777777" w:rsidR="00CD7863" w:rsidRPr="008A6D5E" w:rsidRDefault="009C7C16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Strony postępowania  jurysdykcyjnego</w:t>
      </w:r>
    </w:p>
    <w:p w14:paraId="4EEECAFD" w14:textId="05B8AC08" w:rsidR="00CD7863" w:rsidRPr="008A6D5E" w:rsidRDefault="00CD7863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Zasada prawa do obrony. Prawo do obrony w aspekcie formalnym i materialnym</w:t>
      </w:r>
    </w:p>
    <w:p w14:paraId="522D980E" w14:textId="77777777" w:rsidR="001D4C49" w:rsidRPr="008A6D5E" w:rsidRDefault="001D4C49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Zatrzymanie rodzaje, podstawy i środki zaskarżenia</w:t>
      </w:r>
    </w:p>
    <w:p w14:paraId="5C735DF2" w14:textId="6985EEF8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Procesowi przedstawiciele stron</w:t>
      </w:r>
    </w:p>
    <w:p w14:paraId="286F5EF6" w14:textId="18AC74F8" w:rsidR="008E0656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Prawa i obowiązki oskarżonego </w:t>
      </w:r>
    </w:p>
    <w:p w14:paraId="178103A4" w14:textId="2B0FFB34" w:rsidR="008E0656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Prawa i obowiązki pokrzywdzonego </w:t>
      </w:r>
    </w:p>
    <w:p w14:paraId="39174218" w14:textId="1279A027" w:rsidR="00E34869" w:rsidRPr="008A6D5E" w:rsidRDefault="00E34869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Prawa i obowiązki świadka</w:t>
      </w:r>
    </w:p>
    <w:p w14:paraId="23F1C2BB" w14:textId="1F24BAB5" w:rsidR="008E0656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Charakterystyka orzeczeń, zarządzeń i poleceń </w:t>
      </w:r>
    </w:p>
    <w:p w14:paraId="77C5BFE5" w14:textId="5F1B69CC" w:rsidR="008E0656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Charakterystyka terminów procesowych </w:t>
      </w:r>
    </w:p>
    <w:p w14:paraId="56EA29A4" w14:textId="39B6B238" w:rsidR="008E0656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Formy dokumentowania czynności procesowych </w:t>
      </w:r>
    </w:p>
    <w:p w14:paraId="5FDFA12A" w14:textId="30DFD288" w:rsidR="00077817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Pojęcie i rodzaje dowodów w postępowaniu karnym </w:t>
      </w:r>
    </w:p>
    <w:p w14:paraId="62EB509C" w14:textId="3DF65B78" w:rsidR="00F34158" w:rsidRPr="008A6D5E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Wprowadzanie dowodów do procesu karnego</w:t>
      </w:r>
    </w:p>
    <w:p w14:paraId="530CAA49" w14:textId="159C6A20" w:rsidR="00077817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Dowód z zeznań świadka i wyjaśnień oskarżonego </w:t>
      </w:r>
    </w:p>
    <w:p w14:paraId="2B0EA6DB" w14:textId="77777777" w:rsidR="00CD7863" w:rsidRPr="008A6D5E" w:rsidRDefault="008E0656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Metodyka przesłuchania w świetle przepisów k.p.k.</w:t>
      </w:r>
    </w:p>
    <w:p w14:paraId="1E476E07" w14:textId="2CA00260" w:rsidR="00077817" w:rsidRPr="008A6D5E" w:rsidRDefault="00CD7863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Dostęp do akt postępowania w procesie karnym</w:t>
      </w:r>
      <w:r w:rsidR="008E0656" w:rsidRPr="008A6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AFFD4" w14:textId="1187F1EC" w:rsidR="00077817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Procesowa instytucja biegłego, zasady powoływania biegłych i wymogi opinii </w:t>
      </w:r>
    </w:p>
    <w:p w14:paraId="169A30F3" w14:textId="2758A46E" w:rsidR="00077817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Oględziny jako czynność procesowa (rodzaje, zasady przeprowadzania)</w:t>
      </w:r>
    </w:p>
    <w:p w14:paraId="44BEA144" w14:textId="0EA8E48F" w:rsidR="00077817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Charakterystyka i przebieg eksperymentu procesowego </w:t>
      </w:r>
    </w:p>
    <w:p w14:paraId="09C25357" w14:textId="0054F834" w:rsidR="00077817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Okazanie – rodzaje, charakterystyka i zasady przeprowadzania </w:t>
      </w:r>
    </w:p>
    <w:p w14:paraId="5EEF0FD6" w14:textId="56C2837C" w:rsidR="00A6164C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Konfrontacja jako szczególna forma przesłuchania </w:t>
      </w:r>
    </w:p>
    <w:p w14:paraId="31514806" w14:textId="4AAAE66D" w:rsidR="00A6164C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Charakterystyka i przebieg przeszukania</w:t>
      </w:r>
    </w:p>
    <w:p w14:paraId="01CC481C" w14:textId="1956C78E" w:rsidR="00A6164C" w:rsidRPr="008A6D5E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Środki zapobiegawcze i ich charakterystyka </w:t>
      </w:r>
    </w:p>
    <w:p w14:paraId="6894B8B1" w14:textId="7D01E4A4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Tymczasowe aresztowanie</w:t>
      </w:r>
    </w:p>
    <w:p w14:paraId="4CCA73FC" w14:textId="63EEA4B4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D5E">
        <w:rPr>
          <w:rFonts w:ascii="Times New Roman" w:hAnsi="Times New Roman" w:cs="Times New Roman"/>
          <w:sz w:val="24"/>
          <w:szCs w:val="24"/>
        </w:rPr>
        <w:t>Nieizolacyjne</w:t>
      </w:r>
      <w:proofErr w:type="spellEnd"/>
      <w:r w:rsidRPr="008A6D5E">
        <w:rPr>
          <w:rFonts w:ascii="Times New Roman" w:hAnsi="Times New Roman" w:cs="Times New Roman"/>
          <w:sz w:val="24"/>
          <w:szCs w:val="24"/>
        </w:rPr>
        <w:t xml:space="preserve"> środki zapobiegawcze </w:t>
      </w:r>
    </w:p>
    <w:p w14:paraId="5531862D" w14:textId="7D9FC868" w:rsidR="00E64B4E" w:rsidRPr="008A6D5E" w:rsidRDefault="00E64B4E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Zabezpieczenie majątkowe</w:t>
      </w:r>
    </w:p>
    <w:p w14:paraId="33C0D1FD" w14:textId="5267E9F3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Kary porządkowe</w:t>
      </w:r>
    </w:p>
    <w:p w14:paraId="7786E0DF" w14:textId="4877713F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Wszczęcie postępowania przygotowawczego</w:t>
      </w:r>
    </w:p>
    <w:p w14:paraId="4141A056" w14:textId="3B4AAFD0" w:rsidR="009C7C16" w:rsidRPr="008A6D5E" w:rsidRDefault="000E63A5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lastRenderedPageBreak/>
        <w:t xml:space="preserve">Cele i formy </w:t>
      </w:r>
      <w:r w:rsidR="009C7C16" w:rsidRPr="008A6D5E">
        <w:rPr>
          <w:rFonts w:ascii="Times New Roman" w:hAnsi="Times New Roman" w:cs="Times New Roman"/>
          <w:sz w:val="24"/>
          <w:szCs w:val="24"/>
        </w:rPr>
        <w:t>postępowania przygotowawczego</w:t>
      </w:r>
    </w:p>
    <w:p w14:paraId="294056D4" w14:textId="7146F134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Rola sądu w stadium postępowania przygotowawczego</w:t>
      </w:r>
    </w:p>
    <w:p w14:paraId="49A03B8C" w14:textId="62F1858B" w:rsidR="009C7C16" w:rsidRPr="008A6D5E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Skarga zasadnicza – akt oskarżenia i jego znaczenie</w:t>
      </w:r>
    </w:p>
    <w:p w14:paraId="669D167C" w14:textId="5EE0FEB2" w:rsidR="00F34158" w:rsidRPr="008A6D5E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Formalna i merytoryczna kontrola oskarżenia</w:t>
      </w:r>
    </w:p>
    <w:p w14:paraId="4A331997" w14:textId="4663FC73" w:rsidR="009C7C16" w:rsidRPr="008A6D5E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Część wstępna rozprawy głównej</w:t>
      </w:r>
    </w:p>
    <w:p w14:paraId="5A080A86" w14:textId="659BD9CC" w:rsidR="00F34158" w:rsidRPr="008A6D5E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Przewód sądowy</w:t>
      </w:r>
    </w:p>
    <w:p w14:paraId="3DD3A3FF" w14:textId="77777777" w:rsidR="00CD7863" w:rsidRPr="008A6D5E" w:rsidRDefault="00805BE8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Przebieg narady sędziowskiej, głosowanie i sporządzanie wyroku</w:t>
      </w:r>
    </w:p>
    <w:p w14:paraId="218EA663" w14:textId="1FF682CB" w:rsidR="00CD7863" w:rsidRPr="008A6D5E" w:rsidRDefault="00CD7863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 xml:space="preserve">Zasada domniemania niewinności i in dubio pro </w:t>
      </w:r>
      <w:proofErr w:type="spellStart"/>
      <w:r w:rsidRPr="008A6D5E">
        <w:rPr>
          <w:rFonts w:ascii="Times New Roman" w:hAnsi="Times New Roman"/>
          <w:sz w:val="24"/>
          <w:szCs w:val="24"/>
        </w:rPr>
        <w:t>reo</w:t>
      </w:r>
      <w:proofErr w:type="spellEnd"/>
    </w:p>
    <w:p w14:paraId="1169D48A" w14:textId="4F047B9D" w:rsidR="00CD7863" w:rsidRPr="008A6D5E" w:rsidRDefault="00CD7863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Subsydiarny akt oskarżenia</w:t>
      </w:r>
    </w:p>
    <w:p w14:paraId="7DE2C3D2" w14:textId="7A071604" w:rsidR="00CD7863" w:rsidRPr="008A6D5E" w:rsidRDefault="00CD7863" w:rsidP="00CD7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 xml:space="preserve"> Zakazy dowodowe - pojęcie, zakazy zupełne i niezupełne, względne i bezwzględne</w:t>
      </w:r>
    </w:p>
    <w:p w14:paraId="566F2D37" w14:textId="7CE48B70" w:rsidR="002355E1" w:rsidRPr="008A6D5E" w:rsidRDefault="00CD7863" w:rsidP="002355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Zasada prawdy materialnej. Ograniczenia w dokonywaniu prawdziwych ustaleń faktycznych</w:t>
      </w:r>
    </w:p>
    <w:p w14:paraId="6EFF1BEE" w14:textId="12EEFB1D" w:rsidR="000E63A5" w:rsidRPr="008A6D5E" w:rsidRDefault="002355E1" w:rsidP="000E63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Źródło dowodowe i środek dowodowy. Wprowadzanie dowodów do procesu karnego i ich ocena</w:t>
      </w:r>
    </w:p>
    <w:p w14:paraId="533E143F" w14:textId="75244700" w:rsidR="000E63A5" w:rsidRPr="008A6D5E" w:rsidRDefault="000E63A5" w:rsidP="000E63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 xml:space="preserve">Skazanie bez przeprowadzenia rozprawy – cel instytucji, przesłanki zastosowania, tryb orzekania, uprawnienia oskarżonego, prokuratora i pokrzywdzonego </w:t>
      </w:r>
    </w:p>
    <w:p w14:paraId="1ACDBA6C" w14:textId="005F324D" w:rsidR="000E63A5" w:rsidRPr="008A6D5E" w:rsidRDefault="000E63A5" w:rsidP="000E63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Dobrowolne poddanie się odpowiedzialności karnej - cel instytucji, przesłanki zastosowania, tryb orzekania, uprawnienia oskarżonego, prokuratora i pokrzywdzonego</w:t>
      </w:r>
    </w:p>
    <w:p w14:paraId="408E745E" w14:textId="5F1967E5" w:rsidR="000E63A5" w:rsidRPr="008A6D5E" w:rsidRDefault="000E63A5" w:rsidP="000E63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 xml:space="preserve">Pojęcie i rodzaje środków zaskarżenia </w:t>
      </w:r>
    </w:p>
    <w:p w14:paraId="626F5AB4" w14:textId="147CFD43" w:rsidR="001F61F0" w:rsidRPr="008A6D5E" w:rsidRDefault="000E63A5" w:rsidP="001F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Apelacja jako środek zaskarżenia</w:t>
      </w:r>
    </w:p>
    <w:p w14:paraId="71A9E8E8" w14:textId="612775AC" w:rsidR="001F61F0" w:rsidRPr="008A6D5E" w:rsidRDefault="001F61F0" w:rsidP="001F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Kasacja jako nadzwyczajny środek zaskarżenia</w:t>
      </w:r>
    </w:p>
    <w:p w14:paraId="59F9FCA4" w14:textId="41DA34F4" w:rsidR="001F61F0" w:rsidRDefault="001F61F0" w:rsidP="001D4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Wznowienie postępowania jako nadzwyczajny środek zaskarżenia</w:t>
      </w:r>
    </w:p>
    <w:p w14:paraId="3258F864" w14:textId="7EDC1BCE" w:rsidR="00B5127F" w:rsidRPr="00C50052" w:rsidRDefault="00F55CFA" w:rsidP="001D4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CF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F55CFA">
        <w:rPr>
          <w:rFonts w:ascii="Times New Roman" w:hAnsi="Times New Roman" w:cs="Times New Roman"/>
          <w:sz w:val="24"/>
          <w:szCs w:val="24"/>
          <w:shd w:val="clear" w:color="auto" w:fill="FFFFFF"/>
        </w:rPr>
        <w:t>odstawy skargi na wyrok sądu odwoławczego uchylającego wyrok sądu pierwszej instancji i przekazującego sprawę do ponownego rozpoznania</w:t>
      </w:r>
    </w:p>
    <w:p w14:paraId="3ACE84BC" w14:textId="42254CF6" w:rsidR="00C50052" w:rsidRPr="0035346E" w:rsidRDefault="00D874F8" w:rsidP="001D4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List żelazny</w:t>
      </w:r>
      <w:r w:rsidR="00C50052" w:rsidRPr="00353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FD40B93" w14:textId="25760DA3" w:rsidR="00040FDA" w:rsidRPr="0035346E" w:rsidRDefault="00040FDA" w:rsidP="001D4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Podstawy kasacji</w:t>
      </w:r>
    </w:p>
    <w:p w14:paraId="7F7EB71F" w14:textId="15F63E80" w:rsidR="0035346E" w:rsidRPr="0035346E" w:rsidRDefault="0035346E" w:rsidP="001D4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Wyznaczenie obrońcy z urzędu</w:t>
      </w:r>
    </w:p>
    <w:p w14:paraId="656EFA1F" w14:textId="77E59338" w:rsidR="002112EF" w:rsidRPr="008A6D5E" w:rsidRDefault="002112EF" w:rsidP="002112E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6D5E">
        <w:rPr>
          <w:rFonts w:ascii="Times New Roman" w:hAnsi="Times New Roman" w:cs="Times New Roman"/>
          <w:b/>
          <w:bCs/>
          <w:sz w:val="24"/>
          <w:szCs w:val="24"/>
        </w:rPr>
        <w:t>Prawo karne wykonawcze</w:t>
      </w:r>
    </w:p>
    <w:p w14:paraId="3D4DB9DD" w14:textId="77777777" w:rsidR="002112EF" w:rsidRPr="008A6D5E" w:rsidRDefault="002112EF" w:rsidP="002112EF">
      <w:pPr>
        <w:spacing w:after="0" w:line="240" w:lineRule="auto"/>
        <w:ind w:left="360"/>
        <w:rPr>
          <w:sz w:val="24"/>
          <w:szCs w:val="24"/>
        </w:rPr>
      </w:pPr>
    </w:p>
    <w:p w14:paraId="3DFB3C96" w14:textId="3460176A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Skazany i jego status w postępowaniu karnym wykonawczym</w:t>
      </w:r>
    </w:p>
    <w:p w14:paraId="6A500BF3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Prawa skazanego odbywającego karę pozbawienia wolności</w:t>
      </w:r>
    </w:p>
    <w:p w14:paraId="1BE751BB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Obowiązki skazanego odbywającego karę pozbawienia wolności</w:t>
      </w:r>
    </w:p>
    <w:p w14:paraId="14372E5B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Uczestnicy postępowania karnego wykonawczego</w:t>
      </w:r>
    </w:p>
    <w:p w14:paraId="23FA0E1C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Organy postępowania  karnego wykonawczego </w:t>
      </w:r>
    </w:p>
    <w:p w14:paraId="4AFC12BA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lastRenderedPageBreak/>
        <w:t>Wszczęcie postępowania wykonawczego</w:t>
      </w:r>
    </w:p>
    <w:p w14:paraId="43673925" w14:textId="3FB6C09D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Wykonalność orzeczenia, a prawomocność</w:t>
      </w:r>
    </w:p>
    <w:p w14:paraId="6A081688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Zawieszenie postępowania karnego wykonawczego</w:t>
      </w:r>
    </w:p>
    <w:p w14:paraId="5355544B" w14:textId="6CB05D65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Umorzenie postępowania  (ujemne przesłanki postępowania)</w:t>
      </w:r>
    </w:p>
    <w:p w14:paraId="0B8FA8E0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Zwykłe środki zaskarżenia decyzji wydanych w postępowaniu wykonawczym</w:t>
      </w:r>
    </w:p>
    <w:p w14:paraId="214E54DF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Nadzwyczajne środki zaskarżenia decyzji wydanych w postępowaniu wykonawczym</w:t>
      </w:r>
    </w:p>
    <w:p w14:paraId="551AAB07" w14:textId="059EE6A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Wzruszanie postanowień w trybie art.24 </w:t>
      </w:r>
      <w:proofErr w:type="spellStart"/>
      <w:r w:rsidRPr="008A6D5E">
        <w:rPr>
          <w:rFonts w:ascii="Times New Roman" w:hAnsi="Times New Roman" w:cs="Times New Roman"/>
          <w:sz w:val="24"/>
          <w:szCs w:val="24"/>
        </w:rPr>
        <w:t>k.k.w</w:t>
      </w:r>
      <w:proofErr w:type="spellEnd"/>
      <w:r w:rsidRPr="008A6D5E">
        <w:rPr>
          <w:rFonts w:ascii="Times New Roman" w:hAnsi="Times New Roman" w:cs="Times New Roman"/>
          <w:sz w:val="24"/>
          <w:szCs w:val="24"/>
        </w:rPr>
        <w:t>.</w:t>
      </w:r>
    </w:p>
    <w:p w14:paraId="1DC86501" w14:textId="77777777" w:rsidR="00D806BC" w:rsidRPr="008A6D5E" w:rsidRDefault="00D806BC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Rozstrzyganie wątpliwości co do wykonania orzeczenia </w:t>
      </w:r>
    </w:p>
    <w:p w14:paraId="7B201856" w14:textId="45F9DE0D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Nadzór penitencjarny</w:t>
      </w:r>
    </w:p>
    <w:p w14:paraId="1952918F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Wykonywanie kary grzywny</w:t>
      </w:r>
    </w:p>
    <w:p w14:paraId="0FA6C73C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Odroczenie kary grzywny</w:t>
      </w:r>
    </w:p>
    <w:p w14:paraId="0C3609B0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Rozłożenie na raty kary grzywny</w:t>
      </w:r>
    </w:p>
    <w:p w14:paraId="101E63F5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Wykonywanie kary ograniczenia wolności</w:t>
      </w:r>
    </w:p>
    <w:p w14:paraId="78ED5843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Podmioty uczestniczące w wykonywaniu kary ograniczenia wolności</w:t>
      </w:r>
    </w:p>
    <w:p w14:paraId="445FED43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2F1E04F9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Odroczenie wykonania kary ograniczenia wolności</w:t>
      </w:r>
    </w:p>
    <w:p w14:paraId="2DB191EF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Zamiana kary ograniczenia wolności na karę zastępczą</w:t>
      </w:r>
    </w:p>
    <w:p w14:paraId="103850A0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Pojęcie i zakres nadzoru sądowego nad wykonywaniem kary z zastosowaniem dozoru elektronicznego</w:t>
      </w:r>
    </w:p>
    <w:p w14:paraId="5B79B296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Rodzaje  zakładów karnych</w:t>
      </w:r>
    </w:p>
    <w:p w14:paraId="66C501A0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Typy zakładów karnych</w:t>
      </w:r>
    </w:p>
    <w:p w14:paraId="2EDC4EDD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Systemy wykonywania kary pozbawienia wolności</w:t>
      </w:r>
    </w:p>
    <w:p w14:paraId="54CA31CD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Klasyfikacja skazanych</w:t>
      </w:r>
    </w:p>
    <w:p w14:paraId="6BE5642E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Ustawowe kryteria klasyfikacji skazanych</w:t>
      </w:r>
    </w:p>
    <w:p w14:paraId="5A412954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Badania </w:t>
      </w:r>
      <w:proofErr w:type="spellStart"/>
      <w:r w:rsidRPr="008A6D5E">
        <w:rPr>
          <w:rFonts w:ascii="Times New Roman" w:hAnsi="Times New Roman" w:cs="Times New Roman"/>
          <w:sz w:val="24"/>
          <w:szCs w:val="24"/>
        </w:rPr>
        <w:t>osobopoznawcze</w:t>
      </w:r>
      <w:proofErr w:type="spellEnd"/>
      <w:r w:rsidRPr="008A6D5E">
        <w:rPr>
          <w:rFonts w:ascii="Times New Roman" w:hAnsi="Times New Roman" w:cs="Times New Roman"/>
          <w:sz w:val="24"/>
          <w:szCs w:val="24"/>
        </w:rPr>
        <w:t xml:space="preserve"> w postępowaniu karnym wykonawczym</w:t>
      </w:r>
    </w:p>
    <w:p w14:paraId="10DB55A8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Środki oddziaływania penitencjarnego</w:t>
      </w:r>
    </w:p>
    <w:p w14:paraId="4971D536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Ulgi i nagrodowy stosowane wobec skazanych odbywających karę pozbawienia wolności</w:t>
      </w:r>
    </w:p>
    <w:p w14:paraId="2F0D67E3" w14:textId="44FBCF6C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Odroczenie wykonania kary pozbawienia wolności</w:t>
      </w:r>
    </w:p>
    <w:p w14:paraId="30573F31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1E1FF878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Pomoc postpenitencjarna</w:t>
      </w:r>
    </w:p>
    <w:p w14:paraId="4B8BD9E0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Uznanie środka karnego za wykonany</w:t>
      </w:r>
    </w:p>
    <w:p w14:paraId="257D3C03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Rozdaje środków probacyjnych</w:t>
      </w:r>
    </w:p>
    <w:p w14:paraId="5074122F" w14:textId="1CC8138C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lastRenderedPageBreak/>
        <w:t xml:space="preserve">Wykonanie wyroku, w którym warunkowo zawieszono wykonanie kary </w:t>
      </w:r>
      <w:r w:rsidR="00567BD4" w:rsidRPr="008A6D5E">
        <w:rPr>
          <w:rFonts w:ascii="Times New Roman" w:hAnsi="Times New Roman" w:cs="Times New Roman"/>
          <w:sz w:val="24"/>
          <w:szCs w:val="24"/>
        </w:rPr>
        <w:t>pozbawienia wolności</w:t>
      </w:r>
    </w:p>
    <w:p w14:paraId="0FEA7FC6" w14:textId="77777777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Wykonie wyroku, w którym warunkowo umorzono postępowanie</w:t>
      </w:r>
    </w:p>
    <w:p w14:paraId="32349B95" w14:textId="134417A2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Warunkowe przedterminowe zwolnienie </w:t>
      </w:r>
    </w:p>
    <w:p w14:paraId="5690EF82" w14:textId="6105B40D" w:rsidR="002112EF" w:rsidRPr="008A6D5E" w:rsidRDefault="002112EF" w:rsidP="00BE64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Wykonywanie środk</w:t>
      </w:r>
      <w:r w:rsidR="008F7528" w:rsidRPr="008A6D5E">
        <w:rPr>
          <w:rFonts w:ascii="Times New Roman" w:hAnsi="Times New Roman" w:cs="Times New Roman"/>
          <w:sz w:val="24"/>
          <w:szCs w:val="24"/>
        </w:rPr>
        <w:t>a</w:t>
      </w:r>
      <w:r w:rsidRPr="008A6D5E">
        <w:rPr>
          <w:rFonts w:ascii="Times New Roman" w:hAnsi="Times New Roman" w:cs="Times New Roman"/>
          <w:sz w:val="24"/>
          <w:szCs w:val="24"/>
        </w:rPr>
        <w:t xml:space="preserve"> zabezpieczając</w:t>
      </w:r>
      <w:r w:rsidR="008F7528" w:rsidRPr="008A6D5E">
        <w:rPr>
          <w:rFonts w:ascii="Times New Roman" w:hAnsi="Times New Roman" w:cs="Times New Roman"/>
          <w:sz w:val="24"/>
          <w:szCs w:val="24"/>
        </w:rPr>
        <w:t>ego w postaci pobytu w zakładzie psychiatryczny</w:t>
      </w:r>
      <w:r w:rsidR="001000E2" w:rsidRPr="008A6D5E">
        <w:rPr>
          <w:rFonts w:ascii="Times New Roman" w:hAnsi="Times New Roman" w:cs="Times New Roman"/>
          <w:sz w:val="24"/>
          <w:szCs w:val="24"/>
        </w:rPr>
        <w:t>m</w:t>
      </w:r>
    </w:p>
    <w:p w14:paraId="2BC4BD71" w14:textId="77777777" w:rsidR="00D806BC" w:rsidRPr="008A6D5E" w:rsidRDefault="00D806BC" w:rsidP="00D806B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Pojęcie i zakres nadzoru sądowego nad wykonywaniem kary z zastosowaniem dozoru elektronicznego</w:t>
      </w:r>
    </w:p>
    <w:p w14:paraId="595E73C7" w14:textId="03298584" w:rsidR="00D806BC" w:rsidRPr="008A6D5E" w:rsidRDefault="00D806BC" w:rsidP="00D806B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Przesłanki udzielenia zezwolenia na wykonywanie kary z zastosowaniem dozoru elektronicznego</w:t>
      </w:r>
    </w:p>
    <w:p w14:paraId="24706FA4" w14:textId="1AC44026" w:rsidR="00D806BC" w:rsidRPr="008A6D5E" w:rsidRDefault="00D806BC" w:rsidP="00BE64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Komisja penitencjarna</w:t>
      </w:r>
    </w:p>
    <w:p w14:paraId="5484BC88" w14:textId="77777777" w:rsidR="00D806BC" w:rsidRPr="00E7769B" w:rsidRDefault="00D806BC" w:rsidP="00D806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Odbywanie kary pozbawienia wolności przez kobiety </w:t>
      </w:r>
    </w:p>
    <w:p w14:paraId="75DDAEB8" w14:textId="142960EE" w:rsidR="00D806BC" w:rsidRDefault="00645839" w:rsidP="00BE64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39">
        <w:rPr>
          <w:rFonts w:ascii="Times New Roman" w:hAnsi="Times New Roman" w:cs="Times New Roman"/>
          <w:sz w:val="24"/>
          <w:szCs w:val="24"/>
        </w:rPr>
        <w:t>Tryb orzekania</w:t>
      </w:r>
      <w:r w:rsidR="007F516B">
        <w:rPr>
          <w:rFonts w:ascii="Times New Roman" w:hAnsi="Times New Roman" w:cs="Times New Roman"/>
          <w:sz w:val="24"/>
          <w:szCs w:val="24"/>
        </w:rPr>
        <w:t xml:space="preserve"> o udzieleniu skazanemu zezwolenia na odbycie kary pozbawienia wolności w systemie dozoru elektronicznego</w:t>
      </w:r>
    </w:p>
    <w:p w14:paraId="24CB56C4" w14:textId="57E1D5B1" w:rsidR="005D126B" w:rsidRPr="00645839" w:rsidRDefault="005D126B" w:rsidP="00BE64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 skazanego </w:t>
      </w:r>
      <w:r w:rsidR="00D65731">
        <w:rPr>
          <w:rFonts w:ascii="Times New Roman" w:hAnsi="Times New Roman" w:cs="Times New Roman"/>
          <w:sz w:val="24"/>
          <w:szCs w:val="24"/>
        </w:rPr>
        <w:t>przy wykonywaniu kary pozbawienia wolności w systemie dozoru elektronicznego</w:t>
      </w:r>
    </w:p>
    <w:sectPr w:rsidR="005D126B" w:rsidRPr="0064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C4B"/>
    <w:multiLevelType w:val="hybridMultilevel"/>
    <w:tmpl w:val="595C907E"/>
    <w:lvl w:ilvl="0" w:tplc="D1DA1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04A2"/>
    <w:multiLevelType w:val="hybridMultilevel"/>
    <w:tmpl w:val="59A2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E0E1F"/>
    <w:multiLevelType w:val="hybridMultilevel"/>
    <w:tmpl w:val="92F0873C"/>
    <w:lvl w:ilvl="0" w:tplc="A6F6C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A7C45"/>
    <w:multiLevelType w:val="hybridMultilevel"/>
    <w:tmpl w:val="E9A27B1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14448">
    <w:abstractNumId w:val="0"/>
  </w:num>
  <w:num w:numId="2" w16cid:durableId="716318615">
    <w:abstractNumId w:val="3"/>
  </w:num>
  <w:num w:numId="3" w16cid:durableId="237061308">
    <w:abstractNumId w:val="2"/>
  </w:num>
  <w:num w:numId="4" w16cid:durableId="181810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56"/>
    <w:rsid w:val="00040FDA"/>
    <w:rsid w:val="00077817"/>
    <w:rsid w:val="000D1EFC"/>
    <w:rsid w:val="000E63A5"/>
    <w:rsid w:val="001000E2"/>
    <w:rsid w:val="0015311A"/>
    <w:rsid w:val="001D4C49"/>
    <w:rsid w:val="001F61F0"/>
    <w:rsid w:val="002112EF"/>
    <w:rsid w:val="002355E1"/>
    <w:rsid w:val="002F778B"/>
    <w:rsid w:val="00306545"/>
    <w:rsid w:val="0035346E"/>
    <w:rsid w:val="003A0000"/>
    <w:rsid w:val="00493619"/>
    <w:rsid w:val="00556724"/>
    <w:rsid w:val="00567BD4"/>
    <w:rsid w:val="005D126B"/>
    <w:rsid w:val="005D6CAC"/>
    <w:rsid w:val="00624A60"/>
    <w:rsid w:val="00645839"/>
    <w:rsid w:val="00646E09"/>
    <w:rsid w:val="006B642F"/>
    <w:rsid w:val="0071319E"/>
    <w:rsid w:val="007F516B"/>
    <w:rsid w:val="00805BE8"/>
    <w:rsid w:val="008A6D5E"/>
    <w:rsid w:val="008E0656"/>
    <w:rsid w:val="008F73C1"/>
    <w:rsid w:val="008F7528"/>
    <w:rsid w:val="009C7C16"/>
    <w:rsid w:val="00A6164C"/>
    <w:rsid w:val="00AF2A84"/>
    <w:rsid w:val="00B401D9"/>
    <w:rsid w:val="00B5127F"/>
    <w:rsid w:val="00B51427"/>
    <w:rsid w:val="00B93CBB"/>
    <w:rsid w:val="00BA4D51"/>
    <w:rsid w:val="00BE64CA"/>
    <w:rsid w:val="00C50052"/>
    <w:rsid w:val="00CA391E"/>
    <w:rsid w:val="00CA6280"/>
    <w:rsid w:val="00CD7863"/>
    <w:rsid w:val="00D65731"/>
    <w:rsid w:val="00D806BC"/>
    <w:rsid w:val="00D874F8"/>
    <w:rsid w:val="00D960E4"/>
    <w:rsid w:val="00E251BB"/>
    <w:rsid w:val="00E34869"/>
    <w:rsid w:val="00E6383F"/>
    <w:rsid w:val="00E64B4E"/>
    <w:rsid w:val="00F34158"/>
    <w:rsid w:val="00F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2F7"/>
  <w15:chartTrackingRefBased/>
  <w15:docId w15:val="{DE24A679-FEF9-40C9-BEB0-AD5C0CB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Szczechowicz</dc:creator>
  <cp:keywords/>
  <dc:description/>
  <cp:lastModifiedBy>Krystyna Szczechowicz</cp:lastModifiedBy>
  <cp:revision>26</cp:revision>
  <dcterms:created xsi:type="dcterms:W3CDTF">2023-05-11T08:05:00Z</dcterms:created>
  <dcterms:modified xsi:type="dcterms:W3CDTF">2023-05-15T14:49:00Z</dcterms:modified>
</cp:coreProperties>
</file>