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A2D7" w14:textId="58B00156" w:rsidR="000856EB" w:rsidRPr="00EF7923" w:rsidRDefault="00AC5586" w:rsidP="009325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7923">
        <w:rPr>
          <w:rFonts w:ascii="Times New Roman" w:hAnsi="Times New Roman"/>
          <w:b/>
          <w:sz w:val="28"/>
          <w:szCs w:val="28"/>
        </w:rPr>
        <w:t xml:space="preserve">Katedra Prawa Cywilnego  i Prawa </w:t>
      </w:r>
      <w:r w:rsidR="00814E27">
        <w:rPr>
          <w:rFonts w:ascii="Times New Roman" w:hAnsi="Times New Roman"/>
          <w:b/>
          <w:sz w:val="28"/>
          <w:szCs w:val="28"/>
        </w:rPr>
        <w:t>Prywatnego Międz</w:t>
      </w:r>
      <w:r w:rsidR="00F126C3">
        <w:rPr>
          <w:rFonts w:ascii="Times New Roman" w:hAnsi="Times New Roman"/>
          <w:b/>
          <w:sz w:val="28"/>
          <w:szCs w:val="28"/>
        </w:rPr>
        <w:t>y</w:t>
      </w:r>
      <w:r w:rsidR="00814E27">
        <w:rPr>
          <w:rFonts w:ascii="Times New Roman" w:hAnsi="Times New Roman"/>
          <w:b/>
          <w:sz w:val="28"/>
          <w:szCs w:val="28"/>
        </w:rPr>
        <w:t>narodowego</w:t>
      </w:r>
    </w:p>
    <w:p w14:paraId="35D4C761" w14:textId="77777777" w:rsidR="000856EB" w:rsidRPr="00932578" w:rsidRDefault="00AC5586" w:rsidP="00932578">
      <w:p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hAnsi="Times New Roman"/>
        </w:rPr>
        <w:t xml:space="preserve"> </w:t>
      </w:r>
    </w:p>
    <w:p w14:paraId="3EF1B3B3" w14:textId="77777777" w:rsidR="000856EB" w:rsidRPr="001D2A3F" w:rsidRDefault="00AC5586" w:rsidP="001D2A3F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b/>
          <w:bCs/>
          <w:sz w:val="24"/>
          <w:szCs w:val="24"/>
        </w:rPr>
        <w:t>Prawo cywilne - część ogólna:</w:t>
      </w:r>
    </w:p>
    <w:p w14:paraId="59879D3D" w14:textId="77777777" w:rsidR="000856EB" w:rsidRPr="001D2A3F" w:rsidRDefault="000856EB" w:rsidP="001D2A3F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  <w:spacing w:val="-2"/>
        </w:rPr>
      </w:pPr>
    </w:p>
    <w:p w14:paraId="42A80460" w14:textId="4EA973A7" w:rsidR="000856EB" w:rsidRPr="001D2A3F" w:rsidRDefault="00AC5586" w:rsidP="001D2A3F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1D2A3F">
        <w:rPr>
          <w:rFonts w:ascii="Times New Roman" w:hAnsi="Times New Roman"/>
          <w:spacing w:val="-2"/>
        </w:rPr>
        <w:t>Prawo podmiotowe - pojęcie i systematyka.</w:t>
      </w:r>
    </w:p>
    <w:p w14:paraId="42BCC133" w14:textId="687453C8" w:rsidR="000856EB" w:rsidRPr="001D2A3F" w:rsidRDefault="00AC5586" w:rsidP="001D2A3F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1D2A3F">
        <w:rPr>
          <w:rFonts w:ascii="Times New Roman" w:hAnsi="Times New Roman"/>
          <w:spacing w:val="-2"/>
        </w:rPr>
        <w:t>Nadużycie prawa podmiotowego</w:t>
      </w:r>
      <w:r w:rsidR="004D7C77" w:rsidRPr="001D2A3F">
        <w:rPr>
          <w:rFonts w:ascii="Times New Roman" w:hAnsi="Times New Roman"/>
          <w:spacing w:val="-2"/>
        </w:rPr>
        <w:t xml:space="preserve"> – pojęcie i przykłady</w:t>
      </w:r>
    </w:p>
    <w:p w14:paraId="5E4C91B3" w14:textId="77777777" w:rsidR="000856EB" w:rsidRPr="001D2A3F" w:rsidRDefault="00AC5586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Przesłanki oraz środki ochrony dóbr osobistych.</w:t>
      </w:r>
    </w:p>
    <w:p w14:paraId="3A7E6781" w14:textId="4E49EEFE" w:rsidR="000856EB" w:rsidRPr="001D2A3F" w:rsidRDefault="00D76247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Powstanie i d</w:t>
      </w:r>
      <w:r w:rsidR="00AC5586" w:rsidRPr="001D2A3F">
        <w:rPr>
          <w:rFonts w:ascii="Times New Roman" w:hAnsi="Times New Roman"/>
          <w:spacing w:val="-2"/>
          <w:sz w:val="24"/>
          <w:szCs w:val="24"/>
        </w:rPr>
        <w:t>ziałanie osoby prawnej.</w:t>
      </w:r>
    </w:p>
    <w:p w14:paraId="54134A47" w14:textId="51BF100C" w:rsidR="000856EB" w:rsidRPr="001D2A3F" w:rsidRDefault="00AC5586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Konstrukcja i rodzaje przedstawicielstwa.</w:t>
      </w:r>
    </w:p>
    <w:p w14:paraId="031571D8" w14:textId="77777777" w:rsidR="000856EB" w:rsidRPr="001D2A3F" w:rsidRDefault="00AC5586" w:rsidP="001D2A3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1D2A3F">
        <w:rPr>
          <w:rFonts w:ascii="Times New Roman" w:hAnsi="Times New Roman"/>
        </w:rPr>
        <w:t>Zastępca pośredni, organ osoby prawnej i posłaniec.</w:t>
      </w:r>
    </w:p>
    <w:p w14:paraId="2444E20B" w14:textId="77777777" w:rsidR="000856EB" w:rsidRPr="001D2A3F" w:rsidRDefault="00AC5586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 xml:space="preserve">Czynności prawne. Pojęcie i rodzaje. </w:t>
      </w:r>
    </w:p>
    <w:p w14:paraId="01A076EC" w14:textId="77777777" w:rsidR="000856EB" w:rsidRPr="001D2A3F" w:rsidRDefault="00AC5586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Brak świadomości lub swobody jako wada oświadczenia woli.</w:t>
      </w:r>
    </w:p>
    <w:p w14:paraId="03FEF4AF" w14:textId="77777777" w:rsidR="000856EB" w:rsidRPr="001D2A3F" w:rsidRDefault="00AC5586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Błąd jako wada oświadczenia woli.</w:t>
      </w:r>
    </w:p>
    <w:p w14:paraId="66FD92D9" w14:textId="77777777" w:rsidR="000856EB" w:rsidRPr="001D2A3F" w:rsidRDefault="00AC5586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Pozorność jako wada oświadczenia woli – przesłanki i skutki.</w:t>
      </w:r>
    </w:p>
    <w:p w14:paraId="28F779CA" w14:textId="77777777" w:rsidR="000856EB" w:rsidRPr="001D2A3F" w:rsidRDefault="00AC5586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Podstęp jako wada oświadczenia woli – przesłanki i skutki.</w:t>
      </w:r>
    </w:p>
    <w:p w14:paraId="390804A3" w14:textId="77777777" w:rsidR="000856EB" w:rsidRPr="001D2A3F" w:rsidRDefault="00AC5586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Groźba jako wada oświadczenia woli – przesłanki i skutki.</w:t>
      </w:r>
    </w:p>
    <w:p w14:paraId="03A6BB48" w14:textId="77777777" w:rsidR="000856EB" w:rsidRPr="001D2A3F" w:rsidRDefault="00AC5586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Przedawnienie i terminy zawite.</w:t>
      </w:r>
    </w:p>
    <w:p w14:paraId="2E6B795F" w14:textId="77777777" w:rsidR="000856EB" w:rsidRPr="001D2A3F" w:rsidRDefault="00AC5586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Bezkuteczność względna.</w:t>
      </w:r>
    </w:p>
    <w:p w14:paraId="6C1BFE89" w14:textId="77777777" w:rsidR="000856EB" w:rsidRPr="001D2A3F" w:rsidRDefault="00AC5586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Bezskuteczność zawieszona.</w:t>
      </w:r>
    </w:p>
    <w:p w14:paraId="0900C37C" w14:textId="77777777" w:rsidR="000856EB" w:rsidRPr="001D2A3F" w:rsidRDefault="00AC5586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 xml:space="preserve">Wykładnia oświadczeń woli.  </w:t>
      </w:r>
    </w:p>
    <w:p w14:paraId="7D582D4E" w14:textId="3CE71694" w:rsidR="00932578" w:rsidRPr="001D2A3F" w:rsidRDefault="00AC5586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Forma oświadczenia woli.</w:t>
      </w:r>
    </w:p>
    <w:p w14:paraId="3ACF118E" w14:textId="77777777" w:rsidR="000856EB" w:rsidRPr="001D2A3F" w:rsidRDefault="00AC5586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Cechy nieważnej czynności prawnej.</w:t>
      </w:r>
    </w:p>
    <w:p w14:paraId="34E1571E" w14:textId="77777777" w:rsidR="000856EB" w:rsidRPr="001D2A3F" w:rsidRDefault="00AC5586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Warunek prawny - pojęcie i przykłady.</w:t>
      </w:r>
    </w:p>
    <w:p w14:paraId="5BFC1FD3" w14:textId="404B701F" w:rsidR="00814E27" w:rsidRPr="001D2A3F" w:rsidRDefault="00814E27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Przed</w:t>
      </w:r>
      <w:r w:rsidR="0000114C" w:rsidRPr="001D2A3F">
        <w:rPr>
          <w:rFonts w:ascii="Times New Roman" w:hAnsi="Times New Roman"/>
          <w:sz w:val="24"/>
          <w:szCs w:val="24"/>
        </w:rPr>
        <w:t>a</w:t>
      </w:r>
      <w:r w:rsidRPr="001D2A3F">
        <w:rPr>
          <w:rFonts w:ascii="Times New Roman" w:hAnsi="Times New Roman"/>
          <w:sz w:val="24"/>
          <w:szCs w:val="24"/>
        </w:rPr>
        <w:t>wnienie roszczeń</w:t>
      </w:r>
      <w:r w:rsidR="0000114C" w:rsidRPr="001D2A3F">
        <w:rPr>
          <w:rFonts w:ascii="Times New Roman" w:hAnsi="Times New Roman"/>
          <w:sz w:val="24"/>
          <w:szCs w:val="24"/>
        </w:rPr>
        <w:t>.</w:t>
      </w:r>
    </w:p>
    <w:p w14:paraId="22444341" w14:textId="77777777" w:rsidR="000856EB" w:rsidRPr="001D2A3F" w:rsidRDefault="000856EB" w:rsidP="001D2A3F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D4C77E" w14:textId="77777777" w:rsidR="000856EB" w:rsidRPr="001D2A3F" w:rsidRDefault="00AC5586" w:rsidP="001D2A3F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b/>
          <w:bCs/>
          <w:sz w:val="24"/>
          <w:szCs w:val="24"/>
        </w:rPr>
        <w:t>Prawo rzeczowe</w:t>
      </w:r>
      <w:r w:rsidRPr="001D2A3F">
        <w:rPr>
          <w:rFonts w:ascii="Times New Roman" w:hAnsi="Times New Roman"/>
          <w:sz w:val="24"/>
          <w:szCs w:val="24"/>
        </w:rPr>
        <w:t>:</w:t>
      </w:r>
    </w:p>
    <w:p w14:paraId="10F5ED11" w14:textId="77777777" w:rsidR="00932578" w:rsidRPr="001D2A3F" w:rsidRDefault="00932578" w:rsidP="001D2A3F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0BAB2B8" w14:textId="552AE115" w:rsidR="007E34FE" w:rsidRPr="001D2A3F" w:rsidRDefault="007E34FE" w:rsidP="001D2A3F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1.Zasada numerus clausus praw rzeczowych.</w:t>
      </w:r>
      <w:r w:rsidRPr="001D2A3F">
        <w:rPr>
          <w:rFonts w:ascii="Times New Roman" w:hAnsi="Times New Roman"/>
          <w:color w:val="000000"/>
          <w:sz w:val="24"/>
          <w:szCs w:val="24"/>
        </w:rPr>
        <w:br/>
      </w:r>
      <w:r w:rsidRPr="001D2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    Treść prawa własności.</w:t>
      </w:r>
      <w:r w:rsidRPr="001D2A3F">
        <w:rPr>
          <w:rFonts w:ascii="Times New Roman" w:hAnsi="Times New Roman"/>
          <w:color w:val="000000"/>
          <w:sz w:val="24"/>
          <w:szCs w:val="24"/>
        </w:rPr>
        <w:br/>
      </w:r>
      <w:r w:rsidRPr="001D2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    Przeniesienie własności.</w:t>
      </w:r>
      <w:r w:rsidRPr="001D2A3F">
        <w:rPr>
          <w:rFonts w:ascii="Times New Roman" w:hAnsi="Times New Roman"/>
          <w:color w:val="000000"/>
          <w:sz w:val="24"/>
          <w:szCs w:val="24"/>
        </w:rPr>
        <w:br/>
      </w:r>
      <w:r w:rsidRPr="001D2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    Przewłaszczenie na zabezpieczenie.</w:t>
      </w:r>
      <w:r w:rsidRPr="001D2A3F">
        <w:rPr>
          <w:rFonts w:ascii="Times New Roman" w:hAnsi="Times New Roman"/>
          <w:color w:val="000000"/>
          <w:sz w:val="24"/>
          <w:szCs w:val="24"/>
        </w:rPr>
        <w:br/>
      </w:r>
      <w:r w:rsidRPr="001D2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    Wyjątki od zasady nemo plus iuris.</w:t>
      </w:r>
      <w:r w:rsidRPr="001D2A3F">
        <w:rPr>
          <w:rFonts w:ascii="Times New Roman" w:hAnsi="Times New Roman"/>
          <w:color w:val="000000"/>
          <w:sz w:val="24"/>
          <w:szCs w:val="24"/>
        </w:rPr>
        <w:br/>
      </w:r>
      <w:r w:rsidRPr="001D2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    Ochrona własności.</w:t>
      </w:r>
      <w:r w:rsidRPr="001D2A3F">
        <w:rPr>
          <w:rFonts w:ascii="Times New Roman" w:hAnsi="Times New Roman"/>
          <w:color w:val="000000"/>
          <w:sz w:val="24"/>
          <w:szCs w:val="24"/>
        </w:rPr>
        <w:br/>
      </w:r>
      <w:r w:rsidRPr="001D2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    Współwłasność w częściach ułamkowych.</w:t>
      </w:r>
      <w:r w:rsidRPr="001D2A3F">
        <w:rPr>
          <w:rFonts w:ascii="Times New Roman" w:hAnsi="Times New Roman"/>
          <w:color w:val="000000"/>
          <w:sz w:val="24"/>
          <w:szCs w:val="24"/>
        </w:rPr>
        <w:br/>
      </w:r>
      <w:r w:rsidRPr="001D2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    Zarząd rzeczą wspólną.</w:t>
      </w:r>
      <w:r w:rsidRPr="001D2A3F">
        <w:rPr>
          <w:rFonts w:ascii="Times New Roman" w:hAnsi="Times New Roman"/>
          <w:color w:val="000000"/>
          <w:sz w:val="24"/>
          <w:szCs w:val="24"/>
        </w:rPr>
        <w:br/>
      </w:r>
      <w:r w:rsidRPr="001D2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    Podział quoad usum.</w:t>
      </w:r>
      <w:r w:rsidRPr="001D2A3F">
        <w:rPr>
          <w:rFonts w:ascii="Times New Roman" w:hAnsi="Times New Roman"/>
          <w:color w:val="000000"/>
          <w:sz w:val="24"/>
          <w:szCs w:val="24"/>
        </w:rPr>
        <w:br/>
      </w:r>
      <w:r w:rsidRPr="001D2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    Użytkowanie wieczyste a użytkowanie.</w:t>
      </w:r>
      <w:r w:rsidRPr="001D2A3F">
        <w:rPr>
          <w:rFonts w:ascii="Times New Roman" w:hAnsi="Times New Roman"/>
          <w:color w:val="000000"/>
          <w:sz w:val="24"/>
          <w:szCs w:val="24"/>
        </w:rPr>
        <w:br/>
      </w:r>
      <w:r w:rsidRPr="001D2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    Służebności gruntowe - konstrukcja prawna i rodzaje.</w:t>
      </w:r>
      <w:r w:rsidRPr="001D2A3F">
        <w:rPr>
          <w:rFonts w:ascii="Times New Roman" w:hAnsi="Times New Roman"/>
          <w:color w:val="000000"/>
          <w:sz w:val="24"/>
          <w:szCs w:val="24"/>
        </w:rPr>
        <w:br/>
      </w:r>
      <w:r w:rsidRPr="001D2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12.    Służebności osobiste a służebności gruntowe.</w:t>
      </w:r>
      <w:r w:rsidRPr="001D2A3F">
        <w:rPr>
          <w:rFonts w:ascii="Times New Roman" w:hAnsi="Times New Roman"/>
          <w:color w:val="000000"/>
          <w:sz w:val="24"/>
          <w:szCs w:val="24"/>
        </w:rPr>
        <w:br/>
      </w:r>
      <w:r w:rsidRPr="001D2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13.    Służebność mieszkania.</w:t>
      </w:r>
      <w:r w:rsidRPr="001D2A3F">
        <w:rPr>
          <w:rFonts w:ascii="Times New Roman" w:hAnsi="Times New Roman"/>
          <w:color w:val="000000"/>
          <w:sz w:val="24"/>
          <w:szCs w:val="24"/>
        </w:rPr>
        <w:br/>
      </w:r>
      <w:r w:rsidRPr="001D2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14.    Powstanie służebnosci przesyłu.</w:t>
      </w:r>
      <w:r w:rsidRPr="001D2A3F">
        <w:rPr>
          <w:rFonts w:ascii="Times New Roman" w:hAnsi="Times New Roman"/>
          <w:color w:val="000000"/>
          <w:sz w:val="24"/>
          <w:szCs w:val="24"/>
        </w:rPr>
        <w:br/>
      </w:r>
      <w:r w:rsidRPr="001D2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15.    Administrator hipoteki.</w:t>
      </w:r>
      <w:r w:rsidRPr="001D2A3F">
        <w:rPr>
          <w:rFonts w:ascii="Times New Roman" w:hAnsi="Times New Roman"/>
          <w:color w:val="000000"/>
          <w:sz w:val="24"/>
          <w:szCs w:val="24"/>
        </w:rPr>
        <w:br/>
      </w:r>
      <w:r w:rsidRPr="001D2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16.    Przelew wierzytelności hipotecznej.</w:t>
      </w:r>
      <w:r w:rsidRPr="001D2A3F">
        <w:rPr>
          <w:rFonts w:ascii="Times New Roman" w:hAnsi="Times New Roman"/>
          <w:color w:val="000000"/>
          <w:sz w:val="24"/>
          <w:szCs w:val="24"/>
        </w:rPr>
        <w:br/>
      </w:r>
      <w:r w:rsidRPr="001D2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17.    Hipoteka i dług gruntowy.</w:t>
      </w:r>
      <w:r w:rsidRPr="001D2A3F">
        <w:rPr>
          <w:rFonts w:ascii="Times New Roman" w:hAnsi="Times New Roman"/>
          <w:color w:val="000000"/>
          <w:sz w:val="24"/>
          <w:szCs w:val="24"/>
        </w:rPr>
        <w:br/>
      </w:r>
      <w:r w:rsidRPr="001D2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18.    Posiadanie - pojęcie, nabycie i utrata, ochrona.</w:t>
      </w:r>
      <w:r w:rsidRPr="001D2A3F">
        <w:rPr>
          <w:rFonts w:ascii="Times New Roman" w:hAnsi="Times New Roman"/>
          <w:color w:val="000000"/>
          <w:sz w:val="24"/>
          <w:szCs w:val="24"/>
        </w:rPr>
        <w:br/>
      </w:r>
      <w:r w:rsidRPr="001D2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19.    Skutki ujawnienia roszczeń w księdze wieczystej.</w:t>
      </w:r>
      <w:r w:rsidRPr="001D2A3F">
        <w:rPr>
          <w:rFonts w:ascii="Times New Roman" w:hAnsi="Times New Roman"/>
          <w:color w:val="000000"/>
          <w:sz w:val="24"/>
          <w:szCs w:val="24"/>
        </w:rPr>
        <w:br/>
      </w:r>
      <w:r w:rsidRPr="001D2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20.    Rękojmia wiary publicznej ksiąg wieczystych.</w:t>
      </w:r>
    </w:p>
    <w:p w14:paraId="3C882425" w14:textId="77777777" w:rsidR="007E34FE" w:rsidRPr="001D2A3F" w:rsidRDefault="007E34FE" w:rsidP="001D2A3F">
      <w:pPr>
        <w:pStyle w:val="NormalnyWeb"/>
        <w:spacing w:beforeAutospacing="0" w:afterAutospacing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5121002" w14:textId="77777777" w:rsidR="000856EB" w:rsidRPr="001D2A3F" w:rsidRDefault="000856EB" w:rsidP="001D2A3F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E04167C" w14:textId="77777777" w:rsidR="001D2A3F" w:rsidRPr="001D2A3F" w:rsidRDefault="001D2A3F" w:rsidP="001D2A3F">
      <w:pPr>
        <w:spacing w:line="276" w:lineRule="auto"/>
        <w:jc w:val="both"/>
        <w:rPr>
          <w:rFonts w:ascii="Times New Roman" w:hAnsi="Times New Roman"/>
          <w:lang w:eastAsia="pl-PL"/>
        </w:rPr>
      </w:pPr>
      <w:r w:rsidRPr="001D2A3F">
        <w:rPr>
          <w:rFonts w:ascii="Times New Roman" w:hAnsi="Times New Roman"/>
          <w:b/>
          <w:bCs/>
          <w:lang w:eastAsia="pl-PL"/>
        </w:rPr>
        <w:t>Zobowiązania:</w:t>
      </w:r>
    </w:p>
    <w:p w14:paraId="3DDF5549" w14:textId="77777777" w:rsidR="001D2A3F" w:rsidRPr="001D2A3F" w:rsidRDefault="001D2A3F" w:rsidP="001D2A3F">
      <w:pPr>
        <w:spacing w:line="276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3BD79AE0" w14:textId="77777777" w:rsidR="001D2A3F" w:rsidRPr="001D2A3F" w:rsidRDefault="001D2A3F" w:rsidP="001D2A3F">
      <w:pPr>
        <w:numPr>
          <w:ilvl w:val="0"/>
          <w:numId w:val="6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1D2A3F">
        <w:rPr>
          <w:rFonts w:ascii="Times New Roman" w:hAnsi="Times New Roman"/>
          <w:lang w:eastAsia="pl-PL"/>
        </w:rPr>
        <w:t xml:space="preserve">Świadczenie - pojęcie i rodzaje. </w:t>
      </w:r>
    </w:p>
    <w:p w14:paraId="595D568B" w14:textId="77777777" w:rsidR="001D2A3F" w:rsidRPr="001D2A3F" w:rsidRDefault="001D2A3F" w:rsidP="001D2A3F">
      <w:pPr>
        <w:numPr>
          <w:ilvl w:val="0"/>
          <w:numId w:val="6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1D2A3F">
        <w:rPr>
          <w:rFonts w:ascii="Times New Roman" w:hAnsi="Times New Roman"/>
          <w:lang w:eastAsia="pl-PL"/>
        </w:rPr>
        <w:t>Rodzaje szkody i sposoby jej naprawienia.</w:t>
      </w:r>
    </w:p>
    <w:p w14:paraId="6CCE0429" w14:textId="77777777" w:rsidR="001D2A3F" w:rsidRPr="001D2A3F" w:rsidRDefault="001D2A3F" w:rsidP="001D2A3F">
      <w:pPr>
        <w:numPr>
          <w:ilvl w:val="0"/>
          <w:numId w:val="6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1D2A3F">
        <w:rPr>
          <w:rFonts w:ascii="Times New Roman" w:hAnsi="Times New Roman"/>
          <w:lang w:eastAsia="pl-PL"/>
        </w:rPr>
        <w:t>Wielość wierzycieli lub dłużników.</w:t>
      </w:r>
    </w:p>
    <w:p w14:paraId="368287CA" w14:textId="77777777" w:rsidR="001D2A3F" w:rsidRPr="001D2A3F" w:rsidRDefault="001D2A3F" w:rsidP="001D2A3F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="Times New Roman" w:hAnsi="Times New Roman"/>
          <w:lang w:eastAsia="pl-PL"/>
        </w:rPr>
      </w:pPr>
      <w:r w:rsidRPr="001D2A3F">
        <w:rPr>
          <w:rFonts w:ascii="Times New Roman" w:hAnsi="Times New Roman"/>
          <w:lang w:eastAsia="pl-PL"/>
        </w:rPr>
        <w:t>Przesłanki roszczenia z bezpodstawnego wzbogacenia.</w:t>
      </w:r>
    </w:p>
    <w:p w14:paraId="48A023A1" w14:textId="77777777" w:rsidR="001D2A3F" w:rsidRPr="001D2A3F" w:rsidRDefault="001D2A3F" w:rsidP="001D2A3F">
      <w:pPr>
        <w:numPr>
          <w:ilvl w:val="0"/>
          <w:numId w:val="6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1D2A3F">
        <w:rPr>
          <w:rFonts w:ascii="Times New Roman" w:hAnsi="Times New Roman"/>
          <w:lang w:eastAsia="pl-PL"/>
        </w:rPr>
        <w:t>Zasady odpowiedzialności deliktowej.</w:t>
      </w:r>
    </w:p>
    <w:p w14:paraId="4283A9C2" w14:textId="77777777" w:rsidR="001D2A3F" w:rsidRPr="001D2A3F" w:rsidRDefault="001D2A3F" w:rsidP="001D2A3F">
      <w:pPr>
        <w:numPr>
          <w:ilvl w:val="0"/>
          <w:numId w:val="6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1D2A3F">
        <w:rPr>
          <w:rFonts w:ascii="Times New Roman" w:hAnsi="Times New Roman"/>
          <w:lang w:eastAsia="pl-PL"/>
        </w:rPr>
        <w:t>Miejsce i termin spełnienia świadczenia.</w:t>
      </w:r>
    </w:p>
    <w:p w14:paraId="50146240" w14:textId="77777777" w:rsidR="001D2A3F" w:rsidRPr="001D2A3F" w:rsidRDefault="001D2A3F" w:rsidP="001D2A3F">
      <w:pPr>
        <w:numPr>
          <w:ilvl w:val="0"/>
          <w:numId w:val="6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1D2A3F">
        <w:rPr>
          <w:rFonts w:ascii="Times New Roman" w:hAnsi="Times New Roman"/>
          <w:lang w:eastAsia="pl-PL"/>
        </w:rPr>
        <w:t>Dodatkowe zastrzeżenia umowne.</w:t>
      </w:r>
    </w:p>
    <w:p w14:paraId="390A04DF" w14:textId="77777777" w:rsidR="001D2A3F" w:rsidRPr="001D2A3F" w:rsidRDefault="001D2A3F" w:rsidP="001D2A3F">
      <w:pPr>
        <w:numPr>
          <w:ilvl w:val="0"/>
          <w:numId w:val="6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1D2A3F">
        <w:rPr>
          <w:rFonts w:ascii="Times New Roman" w:hAnsi="Times New Roman"/>
          <w:lang w:eastAsia="pl-PL"/>
        </w:rPr>
        <w:t>Umowa o świadczenie na rzecz osoby trzeciej.</w:t>
      </w:r>
    </w:p>
    <w:p w14:paraId="5069ADC3" w14:textId="77777777" w:rsidR="001D2A3F" w:rsidRPr="001D2A3F" w:rsidRDefault="001D2A3F" w:rsidP="001D2A3F">
      <w:pPr>
        <w:numPr>
          <w:ilvl w:val="0"/>
          <w:numId w:val="6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1D2A3F">
        <w:rPr>
          <w:rFonts w:ascii="Times New Roman" w:hAnsi="Times New Roman"/>
          <w:lang w:eastAsia="pl-PL"/>
        </w:rPr>
        <w:t>Wygaśnięcie zobowiązań.</w:t>
      </w:r>
    </w:p>
    <w:p w14:paraId="013BE803" w14:textId="77777777" w:rsidR="001D2A3F" w:rsidRPr="001D2A3F" w:rsidRDefault="001D2A3F" w:rsidP="001D2A3F">
      <w:pPr>
        <w:numPr>
          <w:ilvl w:val="0"/>
          <w:numId w:val="6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1D2A3F">
        <w:rPr>
          <w:rFonts w:ascii="Times New Roman" w:hAnsi="Times New Roman"/>
          <w:lang w:eastAsia="pl-PL"/>
        </w:rPr>
        <w:t>Skarga pauliańska.</w:t>
      </w:r>
    </w:p>
    <w:p w14:paraId="72406A38" w14:textId="77777777" w:rsidR="001D2A3F" w:rsidRPr="001D2A3F" w:rsidRDefault="001D2A3F" w:rsidP="001D2A3F">
      <w:pPr>
        <w:numPr>
          <w:ilvl w:val="0"/>
          <w:numId w:val="6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1D2A3F">
        <w:rPr>
          <w:rFonts w:ascii="Times New Roman" w:hAnsi="Times New Roman"/>
          <w:lang w:eastAsia="pl-PL"/>
        </w:rPr>
        <w:t>Zobowiązania realne.</w:t>
      </w:r>
    </w:p>
    <w:p w14:paraId="2C37C9DA" w14:textId="77777777" w:rsidR="001D2A3F" w:rsidRPr="001D2A3F" w:rsidRDefault="001D2A3F" w:rsidP="001D2A3F">
      <w:pPr>
        <w:numPr>
          <w:ilvl w:val="0"/>
          <w:numId w:val="6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1D2A3F">
        <w:rPr>
          <w:rFonts w:ascii="Times New Roman" w:hAnsi="Times New Roman"/>
          <w:lang w:eastAsia="pl-PL"/>
        </w:rPr>
        <w:t>Szczególne rodzaje sprzedaży.</w:t>
      </w:r>
    </w:p>
    <w:p w14:paraId="73477799" w14:textId="77777777" w:rsidR="001D2A3F" w:rsidRPr="001D2A3F" w:rsidRDefault="001D2A3F" w:rsidP="001D2A3F">
      <w:pPr>
        <w:numPr>
          <w:ilvl w:val="0"/>
          <w:numId w:val="6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1D2A3F">
        <w:rPr>
          <w:rFonts w:ascii="Times New Roman" w:hAnsi="Times New Roman"/>
          <w:lang w:eastAsia="pl-PL"/>
        </w:rPr>
        <w:t xml:space="preserve">Prawo pierwokupu. </w:t>
      </w:r>
    </w:p>
    <w:p w14:paraId="17C42CC2" w14:textId="77777777" w:rsidR="001D2A3F" w:rsidRPr="001D2A3F" w:rsidRDefault="001D2A3F" w:rsidP="001D2A3F">
      <w:pPr>
        <w:numPr>
          <w:ilvl w:val="0"/>
          <w:numId w:val="6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1D2A3F">
        <w:rPr>
          <w:rFonts w:ascii="Times New Roman" w:hAnsi="Times New Roman"/>
          <w:lang w:eastAsia="pl-PL"/>
        </w:rPr>
        <w:t>Odwołanie darowizny.</w:t>
      </w:r>
    </w:p>
    <w:p w14:paraId="5BF5D1D6" w14:textId="77777777" w:rsidR="001D2A3F" w:rsidRPr="001D2A3F" w:rsidRDefault="001D2A3F" w:rsidP="001D2A3F">
      <w:pPr>
        <w:numPr>
          <w:ilvl w:val="0"/>
          <w:numId w:val="6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1D2A3F">
        <w:rPr>
          <w:rFonts w:ascii="Times New Roman" w:hAnsi="Times New Roman"/>
          <w:lang w:eastAsia="pl-PL"/>
        </w:rPr>
        <w:t>Skutki śmierci najemcy lokalu mieszkalnego.</w:t>
      </w:r>
    </w:p>
    <w:p w14:paraId="007FE3E6" w14:textId="77777777" w:rsidR="001D2A3F" w:rsidRPr="001D2A3F" w:rsidRDefault="001D2A3F" w:rsidP="001D2A3F">
      <w:pPr>
        <w:numPr>
          <w:ilvl w:val="0"/>
          <w:numId w:val="6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1D2A3F">
        <w:rPr>
          <w:rFonts w:ascii="Times New Roman" w:hAnsi="Times New Roman"/>
          <w:spacing w:val="-3"/>
          <w:lang w:eastAsia="pl-PL"/>
        </w:rPr>
        <w:t>Forma umowy zlecenia.</w:t>
      </w:r>
    </w:p>
    <w:p w14:paraId="4556AA46" w14:textId="77777777" w:rsidR="001D2A3F" w:rsidRPr="001D2A3F" w:rsidRDefault="001D2A3F" w:rsidP="001D2A3F">
      <w:pPr>
        <w:numPr>
          <w:ilvl w:val="0"/>
          <w:numId w:val="6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1D2A3F">
        <w:rPr>
          <w:rFonts w:ascii="Times New Roman" w:hAnsi="Times New Roman"/>
          <w:lang w:eastAsia="pl-PL"/>
        </w:rPr>
        <w:t>Depozyt nieprawidłowy.</w:t>
      </w:r>
    </w:p>
    <w:p w14:paraId="28CF105B" w14:textId="77777777" w:rsidR="001D2A3F" w:rsidRPr="001D2A3F" w:rsidRDefault="001D2A3F" w:rsidP="001D2A3F">
      <w:pPr>
        <w:numPr>
          <w:ilvl w:val="0"/>
          <w:numId w:val="6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1D2A3F">
        <w:rPr>
          <w:rFonts w:ascii="Times New Roman" w:hAnsi="Times New Roman"/>
          <w:lang w:eastAsia="pl-PL"/>
        </w:rPr>
        <w:t xml:space="preserve">Umowa o dożywocie. </w:t>
      </w:r>
    </w:p>
    <w:p w14:paraId="2AB33898" w14:textId="77777777" w:rsidR="001D2A3F" w:rsidRPr="001D2A3F" w:rsidRDefault="001D2A3F" w:rsidP="001D2A3F">
      <w:pPr>
        <w:numPr>
          <w:ilvl w:val="0"/>
          <w:numId w:val="6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1D2A3F">
        <w:rPr>
          <w:rFonts w:ascii="Times New Roman" w:hAnsi="Times New Roman"/>
          <w:lang w:eastAsia="pl-PL"/>
        </w:rPr>
        <w:t>Konstrukcja przekazu.</w:t>
      </w:r>
    </w:p>
    <w:p w14:paraId="388EE846" w14:textId="77777777" w:rsidR="001D2A3F" w:rsidRPr="001D2A3F" w:rsidRDefault="001D2A3F" w:rsidP="001D2A3F">
      <w:pPr>
        <w:numPr>
          <w:ilvl w:val="0"/>
          <w:numId w:val="6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1D2A3F">
        <w:rPr>
          <w:rFonts w:ascii="Times New Roman" w:hAnsi="Times New Roman"/>
          <w:lang w:eastAsia="pl-PL"/>
        </w:rPr>
        <w:t xml:space="preserve">Przyrzeczenie publiczne. </w:t>
      </w:r>
    </w:p>
    <w:p w14:paraId="5D71A317" w14:textId="77777777" w:rsidR="001D2A3F" w:rsidRPr="001D2A3F" w:rsidRDefault="001D2A3F" w:rsidP="001D2A3F">
      <w:pPr>
        <w:spacing w:after="160" w:line="276" w:lineRule="auto"/>
        <w:jc w:val="both"/>
        <w:rPr>
          <w:rFonts w:ascii="Times New Roman" w:eastAsia="Calibri" w:hAnsi="Times New Roman"/>
          <w:color w:val="auto"/>
          <w:kern w:val="2"/>
          <w:lang w:val="pl-PL"/>
          <w14:ligatures w14:val="standardContextual"/>
        </w:rPr>
      </w:pPr>
    </w:p>
    <w:p w14:paraId="418519EE" w14:textId="77777777" w:rsidR="001D2A3F" w:rsidRDefault="001D2A3F" w:rsidP="001D2A3F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0B3A712A" w14:textId="77777777" w:rsidR="001D2A3F" w:rsidRDefault="001D2A3F" w:rsidP="001D2A3F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0A7A214C" w14:textId="77777777" w:rsidR="001D2A3F" w:rsidRDefault="001D2A3F" w:rsidP="001D2A3F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097B61AB" w14:textId="77777777" w:rsidR="001D2A3F" w:rsidRDefault="001D2A3F" w:rsidP="001D2A3F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0FCCD008" w14:textId="77777777" w:rsidR="001D2A3F" w:rsidRDefault="001D2A3F" w:rsidP="001D2A3F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18C38EBE" w14:textId="5D5E9025" w:rsidR="000856EB" w:rsidRDefault="00AC5586" w:rsidP="001D2A3F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1D2A3F">
        <w:rPr>
          <w:rFonts w:ascii="Times New Roman" w:hAnsi="Times New Roman"/>
          <w:b/>
          <w:bCs/>
        </w:rPr>
        <w:lastRenderedPageBreak/>
        <w:t>Prawo rodzinne</w:t>
      </w:r>
      <w:r w:rsidR="00932578" w:rsidRPr="001D2A3F">
        <w:rPr>
          <w:rFonts w:ascii="Times New Roman" w:hAnsi="Times New Roman"/>
          <w:b/>
          <w:bCs/>
        </w:rPr>
        <w:t>:</w:t>
      </w:r>
    </w:p>
    <w:p w14:paraId="2147C4C0" w14:textId="77777777" w:rsidR="00932578" w:rsidRPr="001D2A3F" w:rsidRDefault="00932578" w:rsidP="001D2A3F">
      <w:pPr>
        <w:spacing w:line="276" w:lineRule="auto"/>
        <w:jc w:val="both"/>
        <w:rPr>
          <w:rFonts w:ascii="Times New Roman" w:hAnsi="Times New Roman"/>
        </w:rPr>
      </w:pPr>
    </w:p>
    <w:p w14:paraId="504EB55F" w14:textId="5666DED8" w:rsidR="001D2A3F" w:rsidRDefault="001D2A3F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Przesłanki i procedura zawarcia małżeństwa w formie świeckiej i w formie wyznaniowej</w:t>
      </w:r>
    </w:p>
    <w:p w14:paraId="1BFEC8AF" w14:textId="7B3B08EF" w:rsidR="001D2A3F" w:rsidRDefault="001D2A3F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Wymień i omów przeszkody małżeńskie</w:t>
      </w:r>
    </w:p>
    <w:p w14:paraId="0650D30E" w14:textId="6F412B8D" w:rsidR="001D2A3F" w:rsidRDefault="001D2A3F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Wymień i omów obowiązki małżeńskie</w:t>
      </w:r>
    </w:p>
    <w:p w14:paraId="5953B64A" w14:textId="3F558EA9" w:rsidR="000856EB" w:rsidRDefault="00AC5586" w:rsidP="000F1648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0F1648">
        <w:rPr>
          <w:rFonts w:ascii="Times New Roman" w:hAnsi="Times New Roman"/>
          <w:sz w:val="24"/>
          <w:szCs w:val="24"/>
        </w:rPr>
        <w:t>Przyczyny i skutk</w:t>
      </w:r>
      <w:r w:rsidR="001D2A3F" w:rsidRPr="000F1648">
        <w:rPr>
          <w:rFonts w:ascii="Times New Roman" w:hAnsi="Times New Roman"/>
          <w:sz w:val="24"/>
          <w:szCs w:val="24"/>
        </w:rPr>
        <w:t>i</w:t>
      </w:r>
      <w:r w:rsidRPr="000F1648">
        <w:rPr>
          <w:rFonts w:ascii="Times New Roman" w:hAnsi="Times New Roman"/>
          <w:sz w:val="24"/>
          <w:szCs w:val="24"/>
        </w:rPr>
        <w:t xml:space="preserve"> unieważnienia małżeństwa.</w:t>
      </w:r>
    </w:p>
    <w:p w14:paraId="75FFFAE4" w14:textId="22E59C09" w:rsidR="000F1648" w:rsidRDefault="000F1648" w:rsidP="000F1648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dziecka, nazwisko małżonka</w:t>
      </w:r>
    </w:p>
    <w:p w14:paraId="581CB3E8" w14:textId="29CFBFF5" w:rsidR="000F1648" w:rsidRDefault="000F1648" w:rsidP="000F1648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Przesłanki i skutki separacji</w:t>
      </w:r>
    </w:p>
    <w:p w14:paraId="0A80D03C" w14:textId="071F0666" w:rsidR="000F1648" w:rsidRDefault="000F1648" w:rsidP="000F1648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Przesłanki i skutrki rozwodu</w:t>
      </w:r>
    </w:p>
    <w:p w14:paraId="14C551D9" w14:textId="1739F681" w:rsidR="000F1648" w:rsidRDefault="000F1648" w:rsidP="000F1648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Elementy wyroku rozwodowego</w:t>
      </w:r>
    </w:p>
    <w:p w14:paraId="7B852C17" w14:textId="7BA83322" w:rsidR="000856EB" w:rsidRPr="000F1648" w:rsidRDefault="000F1648" w:rsidP="000F1648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Małżeńskie ustroje majątkowe</w:t>
      </w:r>
    </w:p>
    <w:p w14:paraId="1F63AE28" w14:textId="6CD26D4D" w:rsidR="000856EB" w:rsidRPr="00D171E3" w:rsidRDefault="00AC5586" w:rsidP="00D171E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1D2A3F">
        <w:rPr>
          <w:rFonts w:ascii="Times New Roman" w:hAnsi="Times New Roman"/>
        </w:rPr>
        <w:t>Zasady zarządu majątkiem dziecka.</w:t>
      </w:r>
    </w:p>
    <w:p w14:paraId="1E18C529" w14:textId="360891EB" w:rsidR="008A0311" w:rsidRDefault="008A0311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Odpowiedzialność małżonków za zobowiązania.</w:t>
      </w:r>
    </w:p>
    <w:p w14:paraId="2A8446B9" w14:textId="1217D3B8" w:rsidR="007C39E8" w:rsidRDefault="007C39E8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C39E8">
        <w:rPr>
          <w:rFonts w:ascii="Times New Roman" w:hAnsi="Times New Roman"/>
          <w:sz w:val="24"/>
          <w:szCs w:val="24"/>
        </w:rPr>
        <w:t>Składniki majątku osobistego</w:t>
      </w:r>
      <w:r>
        <w:rPr>
          <w:rFonts w:ascii="Times New Roman" w:hAnsi="Times New Roman"/>
          <w:sz w:val="24"/>
          <w:szCs w:val="24"/>
        </w:rPr>
        <w:t>.</w:t>
      </w:r>
    </w:p>
    <w:p w14:paraId="4782EF7C" w14:textId="2066069D" w:rsidR="000F1648" w:rsidRPr="001D2A3F" w:rsidRDefault="000F1648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i zaprzeczenie macierzyństwa</w:t>
      </w:r>
    </w:p>
    <w:p w14:paraId="4E1CF75E" w14:textId="50FAE96E" w:rsidR="000856EB" w:rsidRPr="001D2A3F" w:rsidRDefault="007C39E8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</w:t>
      </w:r>
      <w:r w:rsidR="000F1648">
        <w:rPr>
          <w:rFonts w:ascii="Times New Roman" w:hAnsi="Times New Roman"/>
          <w:sz w:val="24"/>
          <w:szCs w:val="24"/>
        </w:rPr>
        <w:t xml:space="preserve"> i zaprzeczenie</w:t>
      </w:r>
      <w:r>
        <w:rPr>
          <w:rFonts w:ascii="Times New Roman" w:hAnsi="Times New Roman"/>
          <w:sz w:val="24"/>
          <w:szCs w:val="24"/>
        </w:rPr>
        <w:t xml:space="preserve"> ojcostwa</w:t>
      </w:r>
    </w:p>
    <w:p w14:paraId="31E04F6D" w14:textId="77777777" w:rsidR="00D171E3" w:rsidRDefault="00AC5586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Władza rodzicielska.</w:t>
      </w:r>
    </w:p>
    <w:p w14:paraId="484AABE3" w14:textId="5FB8068E" w:rsidR="000856EB" w:rsidRPr="001D2A3F" w:rsidRDefault="00AC5586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 xml:space="preserve"> Kontakty z dzieckiem.</w:t>
      </w:r>
    </w:p>
    <w:p w14:paraId="73B0FC07" w14:textId="77777777" w:rsidR="000856EB" w:rsidRPr="001D2A3F" w:rsidRDefault="00AC5586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Przysposobienie.</w:t>
      </w:r>
    </w:p>
    <w:p w14:paraId="67C18D34" w14:textId="77777777" w:rsidR="000856EB" w:rsidRDefault="00AC5586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Obowiązek alimentacyjny.</w:t>
      </w:r>
    </w:p>
    <w:p w14:paraId="5AC31FA3" w14:textId="7BF62C0E" w:rsidR="000F1648" w:rsidRPr="001D2A3F" w:rsidRDefault="000F1648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Roszczenia matki dziecka pozamałżeńskiego</w:t>
      </w:r>
    </w:p>
    <w:p w14:paraId="0752FD0E" w14:textId="77777777" w:rsidR="000856EB" w:rsidRPr="001D2A3F" w:rsidRDefault="00AC5586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Opieka i kuratela.</w:t>
      </w:r>
    </w:p>
    <w:p w14:paraId="15C2AA8D" w14:textId="77777777" w:rsidR="000856EB" w:rsidRPr="001D2A3F" w:rsidRDefault="00AC5586" w:rsidP="001D2A3F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 xml:space="preserve"> </w:t>
      </w:r>
    </w:p>
    <w:p w14:paraId="681599FE" w14:textId="77777777" w:rsidR="000856EB" w:rsidRPr="001D2A3F" w:rsidRDefault="00AC5586" w:rsidP="001D2A3F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b/>
          <w:bCs/>
          <w:sz w:val="24"/>
          <w:szCs w:val="24"/>
        </w:rPr>
        <w:t>Prawo spadkowe</w:t>
      </w:r>
      <w:r w:rsidRPr="001D2A3F">
        <w:rPr>
          <w:rFonts w:ascii="Times New Roman" w:hAnsi="Times New Roman"/>
          <w:sz w:val="24"/>
          <w:szCs w:val="24"/>
        </w:rPr>
        <w:t>:</w:t>
      </w:r>
    </w:p>
    <w:p w14:paraId="1FC19D03" w14:textId="77777777" w:rsidR="00932578" w:rsidRPr="001D2A3F" w:rsidRDefault="00932578" w:rsidP="001D2A3F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12C38AF" w14:textId="77777777" w:rsidR="001D2A3F" w:rsidRPr="001D2A3F" w:rsidRDefault="001D2A3F" w:rsidP="001D2A3F">
      <w:pPr>
        <w:numPr>
          <w:ilvl w:val="0"/>
          <w:numId w:val="8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1D2A3F">
        <w:rPr>
          <w:rFonts w:ascii="Times New Roman" w:hAnsi="Times New Roman"/>
          <w:lang w:eastAsia="pl-PL"/>
        </w:rPr>
        <w:t>Spadek – pojęcie, skład.</w:t>
      </w:r>
    </w:p>
    <w:p w14:paraId="688742F3" w14:textId="77777777" w:rsidR="001D2A3F" w:rsidRPr="001D2A3F" w:rsidRDefault="001D2A3F" w:rsidP="001D2A3F">
      <w:pPr>
        <w:numPr>
          <w:ilvl w:val="0"/>
          <w:numId w:val="8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1D2A3F">
        <w:rPr>
          <w:rFonts w:ascii="Times New Roman" w:hAnsi="Times New Roman"/>
          <w:lang w:eastAsia="pl-PL"/>
        </w:rPr>
        <w:t>Dziedziczenie ustawowe.</w:t>
      </w:r>
    </w:p>
    <w:p w14:paraId="28205904" w14:textId="77777777" w:rsidR="001D2A3F" w:rsidRPr="001D2A3F" w:rsidRDefault="001D2A3F" w:rsidP="001D2A3F">
      <w:pPr>
        <w:numPr>
          <w:ilvl w:val="0"/>
          <w:numId w:val="8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1D2A3F">
        <w:rPr>
          <w:rFonts w:ascii="Times New Roman" w:hAnsi="Times New Roman"/>
          <w:spacing w:val="-2"/>
          <w:lang w:eastAsia="pl-PL"/>
        </w:rPr>
        <w:t>Niegodność dziedziczenia a wydziedziczenie.</w:t>
      </w:r>
    </w:p>
    <w:p w14:paraId="7C03C824" w14:textId="77777777" w:rsidR="001D2A3F" w:rsidRPr="001D2A3F" w:rsidRDefault="001D2A3F" w:rsidP="001D2A3F">
      <w:pPr>
        <w:numPr>
          <w:ilvl w:val="0"/>
          <w:numId w:val="8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1D2A3F">
        <w:rPr>
          <w:rFonts w:ascii="Times New Roman" w:hAnsi="Times New Roman"/>
          <w:lang w:eastAsia="pl-PL"/>
        </w:rPr>
        <w:t>Testament jako czynność prawna.</w:t>
      </w:r>
    </w:p>
    <w:p w14:paraId="3821F72D" w14:textId="77777777" w:rsidR="001D2A3F" w:rsidRPr="001D2A3F" w:rsidRDefault="001D2A3F" w:rsidP="001D2A3F">
      <w:pPr>
        <w:numPr>
          <w:ilvl w:val="0"/>
          <w:numId w:val="8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1D2A3F">
        <w:rPr>
          <w:rFonts w:ascii="Times New Roman" w:hAnsi="Times New Roman"/>
          <w:lang w:eastAsia="pl-PL"/>
        </w:rPr>
        <w:t>Testament negatywny</w:t>
      </w:r>
    </w:p>
    <w:p w14:paraId="49F31CA9" w14:textId="77777777" w:rsidR="001D2A3F" w:rsidRPr="001D2A3F" w:rsidRDefault="001D2A3F" w:rsidP="001D2A3F">
      <w:pPr>
        <w:numPr>
          <w:ilvl w:val="0"/>
          <w:numId w:val="8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1D2A3F">
        <w:rPr>
          <w:rFonts w:ascii="Times New Roman" w:hAnsi="Times New Roman"/>
          <w:lang w:eastAsia="pl-PL"/>
        </w:rPr>
        <w:t>Formy testamentu.</w:t>
      </w:r>
    </w:p>
    <w:p w14:paraId="0E9F5232" w14:textId="77777777" w:rsidR="001D2A3F" w:rsidRPr="001D2A3F" w:rsidRDefault="001D2A3F" w:rsidP="001D2A3F">
      <w:pPr>
        <w:numPr>
          <w:ilvl w:val="0"/>
          <w:numId w:val="8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1D2A3F">
        <w:rPr>
          <w:rFonts w:ascii="Times New Roman" w:hAnsi="Times New Roman"/>
          <w:lang w:eastAsia="pl-PL"/>
        </w:rPr>
        <w:t>Nieważność testamentu.</w:t>
      </w:r>
    </w:p>
    <w:p w14:paraId="436F66B6" w14:textId="0045E4F7" w:rsidR="001D2A3F" w:rsidRPr="001D2A3F" w:rsidRDefault="001D2A3F" w:rsidP="001D2A3F">
      <w:pPr>
        <w:numPr>
          <w:ilvl w:val="0"/>
          <w:numId w:val="8"/>
        </w:numPr>
        <w:spacing w:after="160" w:line="276" w:lineRule="auto"/>
        <w:jc w:val="both"/>
        <w:rPr>
          <w:rFonts w:ascii="Times New Roman" w:hAnsi="Times New Roman"/>
          <w:color w:val="auto"/>
          <w:lang w:eastAsia="pl-PL"/>
        </w:rPr>
      </w:pPr>
      <w:r w:rsidRPr="001D2A3F">
        <w:rPr>
          <w:rFonts w:ascii="Times New Roman" w:hAnsi="Times New Roman"/>
          <w:color w:val="auto"/>
          <w:lang w:eastAsia="pl-PL"/>
        </w:rPr>
        <w:t>Odwołanie testamentu.</w:t>
      </w:r>
    </w:p>
    <w:p w14:paraId="23C43800" w14:textId="77777777" w:rsidR="001D2A3F" w:rsidRPr="001D2A3F" w:rsidRDefault="001D2A3F" w:rsidP="001D2A3F">
      <w:pPr>
        <w:numPr>
          <w:ilvl w:val="0"/>
          <w:numId w:val="8"/>
        </w:numPr>
        <w:tabs>
          <w:tab w:val="left" w:pos="-720"/>
        </w:tabs>
        <w:suppressAutoHyphens/>
        <w:spacing w:after="160" w:line="276" w:lineRule="auto"/>
        <w:contextualSpacing/>
        <w:jc w:val="both"/>
        <w:rPr>
          <w:rFonts w:ascii="Times New Roman" w:hAnsi="Times New Roman"/>
          <w:color w:val="auto"/>
        </w:rPr>
      </w:pPr>
      <w:r w:rsidRPr="001D2A3F">
        <w:rPr>
          <w:rFonts w:ascii="Times New Roman" w:hAnsi="Times New Roman"/>
          <w:color w:val="auto"/>
          <w:spacing w:val="-2"/>
        </w:rPr>
        <w:t>Powołanie spadkobiercy w testamencie pod warunkiem.</w:t>
      </w:r>
    </w:p>
    <w:p w14:paraId="39A51059" w14:textId="77777777" w:rsidR="001D2A3F" w:rsidRPr="001D2A3F" w:rsidRDefault="001D2A3F" w:rsidP="001D2A3F">
      <w:pPr>
        <w:numPr>
          <w:ilvl w:val="0"/>
          <w:numId w:val="8"/>
        </w:numPr>
        <w:tabs>
          <w:tab w:val="left" w:pos="-720"/>
        </w:tabs>
        <w:suppressAutoHyphens/>
        <w:spacing w:after="160" w:line="276" w:lineRule="auto"/>
        <w:contextualSpacing/>
        <w:jc w:val="both"/>
        <w:rPr>
          <w:rFonts w:ascii="Times New Roman" w:hAnsi="Times New Roman"/>
          <w:color w:val="auto"/>
        </w:rPr>
      </w:pPr>
      <w:r w:rsidRPr="001D2A3F">
        <w:rPr>
          <w:rFonts w:ascii="Times New Roman" w:hAnsi="Times New Roman"/>
          <w:color w:val="auto"/>
          <w:spacing w:val="-2"/>
        </w:rPr>
        <w:t>Podstawienie i przyrost.</w:t>
      </w:r>
    </w:p>
    <w:p w14:paraId="0C70F097" w14:textId="77777777" w:rsidR="001D2A3F" w:rsidRPr="001D2A3F" w:rsidRDefault="001D2A3F" w:rsidP="001D2A3F">
      <w:pPr>
        <w:numPr>
          <w:ilvl w:val="0"/>
          <w:numId w:val="8"/>
        </w:numPr>
        <w:tabs>
          <w:tab w:val="left" w:pos="-720"/>
        </w:tabs>
        <w:suppressAutoHyphens/>
        <w:spacing w:after="160" w:line="276" w:lineRule="auto"/>
        <w:contextualSpacing/>
        <w:jc w:val="both"/>
        <w:rPr>
          <w:rFonts w:ascii="Times New Roman" w:hAnsi="Times New Roman"/>
          <w:color w:val="auto"/>
        </w:rPr>
      </w:pPr>
      <w:r w:rsidRPr="001D2A3F">
        <w:rPr>
          <w:rFonts w:ascii="Times New Roman" w:hAnsi="Times New Roman"/>
          <w:color w:val="auto"/>
          <w:spacing w:val="-2"/>
        </w:rPr>
        <w:t>Zapis windykacyjny</w:t>
      </w:r>
    </w:p>
    <w:p w14:paraId="63CA848E" w14:textId="77777777" w:rsidR="001D2A3F" w:rsidRPr="001D2A3F" w:rsidRDefault="001D2A3F" w:rsidP="001D2A3F">
      <w:pPr>
        <w:numPr>
          <w:ilvl w:val="0"/>
          <w:numId w:val="8"/>
        </w:numPr>
        <w:spacing w:after="160" w:line="276" w:lineRule="auto"/>
        <w:jc w:val="both"/>
        <w:rPr>
          <w:rFonts w:ascii="Times New Roman" w:hAnsi="Times New Roman"/>
          <w:color w:val="auto"/>
          <w:lang w:eastAsia="pl-PL"/>
        </w:rPr>
      </w:pPr>
      <w:r w:rsidRPr="001D2A3F">
        <w:rPr>
          <w:rFonts w:ascii="Times New Roman" w:hAnsi="Times New Roman"/>
          <w:color w:val="auto"/>
          <w:spacing w:val="-2"/>
          <w:lang w:eastAsia="pl-PL"/>
        </w:rPr>
        <w:t xml:space="preserve">Zapis zwykły i polecenie. </w:t>
      </w:r>
    </w:p>
    <w:p w14:paraId="6B4C2229" w14:textId="77777777" w:rsidR="001D2A3F" w:rsidRPr="001D2A3F" w:rsidRDefault="001D2A3F" w:rsidP="001D2A3F">
      <w:pPr>
        <w:numPr>
          <w:ilvl w:val="0"/>
          <w:numId w:val="8"/>
        </w:numPr>
        <w:spacing w:after="160" w:line="276" w:lineRule="auto"/>
        <w:jc w:val="both"/>
        <w:rPr>
          <w:rFonts w:ascii="Times New Roman" w:hAnsi="Times New Roman"/>
          <w:color w:val="auto"/>
          <w:lang w:eastAsia="pl-PL"/>
        </w:rPr>
      </w:pPr>
      <w:r w:rsidRPr="001D2A3F">
        <w:rPr>
          <w:rFonts w:ascii="Times New Roman" w:hAnsi="Times New Roman"/>
          <w:color w:val="auto"/>
          <w:lang w:eastAsia="pl-PL"/>
        </w:rPr>
        <w:t>Nabycie spadku – rodzaje i skutki. Odrzucenie spadku.</w:t>
      </w:r>
    </w:p>
    <w:p w14:paraId="62C77248" w14:textId="77777777" w:rsidR="001D2A3F" w:rsidRPr="001D2A3F" w:rsidRDefault="001D2A3F" w:rsidP="001D2A3F">
      <w:pPr>
        <w:numPr>
          <w:ilvl w:val="0"/>
          <w:numId w:val="8"/>
        </w:numPr>
        <w:spacing w:after="160" w:line="276" w:lineRule="auto"/>
        <w:jc w:val="both"/>
        <w:rPr>
          <w:rFonts w:ascii="Times New Roman" w:hAnsi="Times New Roman"/>
          <w:color w:val="auto"/>
          <w:lang w:eastAsia="pl-PL"/>
        </w:rPr>
      </w:pPr>
      <w:r w:rsidRPr="001D2A3F">
        <w:rPr>
          <w:rFonts w:ascii="Times New Roman" w:hAnsi="Times New Roman"/>
          <w:color w:val="auto"/>
          <w:lang w:eastAsia="pl-PL"/>
        </w:rPr>
        <w:lastRenderedPageBreak/>
        <w:t>Ochrona dziedziczenia.</w:t>
      </w:r>
    </w:p>
    <w:p w14:paraId="187829DF" w14:textId="77777777" w:rsidR="001D2A3F" w:rsidRPr="001D2A3F" w:rsidRDefault="001D2A3F" w:rsidP="001D2A3F">
      <w:pPr>
        <w:numPr>
          <w:ilvl w:val="0"/>
          <w:numId w:val="8"/>
        </w:numPr>
        <w:spacing w:after="160" w:line="276" w:lineRule="auto"/>
        <w:jc w:val="both"/>
        <w:rPr>
          <w:rFonts w:ascii="Times New Roman" w:hAnsi="Times New Roman"/>
          <w:color w:val="auto"/>
          <w:lang w:eastAsia="pl-PL"/>
        </w:rPr>
      </w:pPr>
      <w:r w:rsidRPr="001D2A3F">
        <w:rPr>
          <w:rFonts w:ascii="Times New Roman" w:hAnsi="Times New Roman"/>
          <w:color w:val="auto"/>
          <w:lang w:eastAsia="pl-PL"/>
        </w:rPr>
        <w:t>Odpowiedzialność spadkobierców za długi spadkowe.</w:t>
      </w:r>
    </w:p>
    <w:p w14:paraId="54EB1133" w14:textId="77777777" w:rsidR="001D2A3F" w:rsidRPr="001D2A3F" w:rsidRDefault="001D2A3F" w:rsidP="001D2A3F">
      <w:pPr>
        <w:numPr>
          <w:ilvl w:val="0"/>
          <w:numId w:val="8"/>
        </w:numPr>
        <w:spacing w:after="160" w:line="276" w:lineRule="auto"/>
        <w:jc w:val="both"/>
        <w:rPr>
          <w:rFonts w:ascii="Times New Roman" w:hAnsi="Times New Roman"/>
          <w:color w:val="auto"/>
          <w:lang w:eastAsia="pl-PL"/>
        </w:rPr>
      </w:pPr>
      <w:r w:rsidRPr="001D2A3F">
        <w:rPr>
          <w:rFonts w:ascii="Times New Roman" w:hAnsi="Times New Roman"/>
          <w:color w:val="auto"/>
          <w:lang w:eastAsia="pl-PL"/>
        </w:rPr>
        <w:t xml:space="preserve">Wykaz inwentarza i spis inwentarza </w:t>
      </w:r>
    </w:p>
    <w:p w14:paraId="58FFAC6A" w14:textId="77777777" w:rsidR="001D2A3F" w:rsidRPr="001D2A3F" w:rsidRDefault="001D2A3F" w:rsidP="001D2A3F">
      <w:pPr>
        <w:numPr>
          <w:ilvl w:val="0"/>
          <w:numId w:val="8"/>
        </w:numPr>
        <w:spacing w:after="160" w:line="276" w:lineRule="auto"/>
        <w:jc w:val="both"/>
        <w:rPr>
          <w:rFonts w:ascii="Times New Roman" w:hAnsi="Times New Roman"/>
          <w:color w:val="auto"/>
          <w:lang w:eastAsia="pl-PL"/>
        </w:rPr>
      </w:pPr>
      <w:r w:rsidRPr="001D2A3F">
        <w:rPr>
          <w:rFonts w:ascii="Times New Roman" w:hAnsi="Times New Roman"/>
          <w:color w:val="auto"/>
          <w:lang w:eastAsia="pl-PL"/>
        </w:rPr>
        <w:t>Ochrona osób najbliższych spadkodawcy (ze szczególnym uwzględnienim zachowku).</w:t>
      </w:r>
    </w:p>
    <w:p w14:paraId="63864502" w14:textId="77777777" w:rsidR="001D2A3F" w:rsidRPr="001D2A3F" w:rsidRDefault="001D2A3F" w:rsidP="001D2A3F">
      <w:pPr>
        <w:numPr>
          <w:ilvl w:val="0"/>
          <w:numId w:val="8"/>
        </w:numPr>
        <w:spacing w:after="160" w:line="276" w:lineRule="auto"/>
        <w:jc w:val="both"/>
        <w:rPr>
          <w:rFonts w:ascii="Times New Roman" w:hAnsi="Times New Roman"/>
          <w:color w:val="auto"/>
          <w:lang w:eastAsia="pl-PL"/>
        </w:rPr>
      </w:pPr>
      <w:r w:rsidRPr="001D2A3F">
        <w:rPr>
          <w:rFonts w:ascii="Times New Roman" w:hAnsi="Times New Roman"/>
          <w:color w:val="auto"/>
          <w:lang w:eastAsia="pl-PL"/>
        </w:rPr>
        <w:t>Wspólność majątku spadkowego i dział spadku.</w:t>
      </w:r>
    </w:p>
    <w:p w14:paraId="31124A26" w14:textId="77777777" w:rsidR="001D2A3F" w:rsidRPr="001D2A3F" w:rsidRDefault="001D2A3F" w:rsidP="001D2A3F">
      <w:pPr>
        <w:numPr>
          <w:ilvl w:val="0"/>
          <w:numId w:val="8"/>
        </w:numPr>
        <w:spacing w:after="160" w:line="276" w:lineRule="auto"/>
        <w:jc w:val="both"/>
        <w:rPr>
          <w:rFonts w:ascii="Times New Roman" w:hAnsi="Times New Roman"/>
          <w:color w:val="auto"/>
          <w:lang w:eastAsia="pl-PL"/>
        </w:rPr>
      </w:pPr>
      <w:r w:rsidRPr="001D2A3F">
        <w:rPr>
          <w:rFonts w:ascii="Times New Roman" w:hAnsi="Times New Roman"/>
          <w:color w:val="auto"/>
          <w:lang w:eastAsia="pl-PL"/>
        </w:rPr>
        <w:t>Poświadczenie dziedziczenia</w:t>
      </w:r>
    </w:p>
    <w:p w14:paraId="25B36747" w14:textId="77777777" w:rsidR="001D2A3F" w:rsidRPr="001D2A3F" w:rsidRDefault="001D2A3F" w:rsidP="001D2A3F">
      <w:pPr>
        <w:numPr>
          <w:ilvl w:val="0"/>
          <w:numId w:val="8"/>
        </w:numPr>
        <w:spacing w:after="160" w:line="276" w:lineRule="auto"/>
        <w:jc w:val="both"/>
        <w:rPr>
          <w:rFonts w:ascii="Times New Roman" w:hAnsi="Times New Roman"/>
          <w:color w:val="auto"/>
          <w:lang w:eastAsia="pl-PL"/>
        </w:rPr>
      </w:pPr>
      <w:r w:rsidRPr="001D2A3F">
        <w:rPr>
          <w:rFonts w:ascii="Times New Roman" w:hAnsi="Times New Roman"/>
          <w:color w:val="auto"/>
          <w:lang w:eastAsia="pl-PL"/>
        </w:rPr>
        <w:t>Europejskie poświadczenie spadkowe.</w:t>
      </w:r>
    </w:p>
    <w:p w14:paraId="6E8DCF9A" w14:textId="77777777" w:rsidR="001D2A3F" w:rsidRPr="001D2A3F" w:rsidRDefault="001D2A3F" w:rsidP="001D2A3F">
      <w:pPr>
        <w:spacing w:after="160" w:line="276" w:lineRule="auto"/>
        <w:rPr>
          <w:rFonts w:ascii="Times New Roman" w:eastAsia="Calibri" w:hAnsi="Times New Roman"/>
          <w:color w:val="auto"/>
          <w:kern w:val="2"/>
          <w:lang w:val="pl-PL"/>
          <w14:ligatures w14:val="standardContextual"/>
        </w:rPr>
      </w:pPr>
    </w:p>
    <w:p w14:paraId="3039ADB0" w14:textId="51219A60" w:rsidR="000856EB" w:rsidRPr="001D2A3F" w:rsidRDefault="000856EB" w:rsidP="001D2A3F">
      <w:pPr>
        <w:spacing w:line="276" w:lineRule="auto"/>
        <w:jc w:val="both"/>
        <w:rPr>
          <w:rFonts w:ascii="Times New Roman" w:hAnsi="Times New Roman"/>
          <w:color w:val="auto"/>
        </w:rPr>
      </w:pPr>
    </w:p>
    <w:sectPr w:rsidR="000856EB" w:rsidRPr="001D2A3F" w:rsidSect="00DF6C1F">
      <w:headerReference w:type="default" r:id="rId7"/>
      <w:pgSz w:w="11906" w:h="16838"/>
      <w:pgMar w:top="1440" w:right="1800" w:bottom="1440" w:left="1800" w:header="708" w:footer="0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4BF5" w14:textId="77777777" w:rsidR="00F15005" w:rsidRDefault="00F15005">
      <w:r>
        <w:separator/>
      </w:r>
    </w:p>
  </w:endnote>
  <w:endnote w:type="continuationSeparator" w:id="0">
    <w:p w14:paraId="6D983ED0" w14:textId="77777777" w:rsidR="00F15005" w:rsidRDefault="00F1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AB8A" w14:textId="77777777" w:rsidR="00F15005" w:rsidRDefault="00F15005">
      <w:r>
        <w:separator/>
      </w:r>
    </w:p>
  </w:footnote>
  <w:footnote w:type="continuationSeparator" w:id="0">
    <w:p w14:paraId="0A2C12AE" w14:textId="77777777" w:rsidR="00F15005" w:rsidRDefault="00F15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4C39" w14:textId="1E0A9BAB" w:rsidR="000856EB" w:rsidRDefault="009B3E4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E730EB1" wp14:editId="2240766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6995" cy="178435"/>
              <wp:effectExtent l="0" t="0" r="0" b="0"/>
              <wp:wrapSquare wrapText="largest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699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07996F" w14:textId="77777777" w:rsidR="000856EB" w:rsidRDefault="00DF6C1F">
                          <w:pPr>
                            <w:pStyle w:val="Nagwek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 w:rsidR="00AC5586">
                            <w:instrText>PAGE</w:instrText>
                          </w:r>
                          <w:r>
                            <w:fldChar w:fldCharType="separate"/>
                          </w:r>
                          <w:r w:rsidR="006B77B8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730EB1" id="Ramka1" o:spid="_x0000_s1026" style="position:absolute;margin-left:0;margin-top:.05pt;width:6.85pt;height:14.05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" filled="f" stroked="f">
              <v:textbox style="mso-fit-shape-to-text:t" inset="0,0,0,0">
                <w:txbxContent>
                  <w:p w14:paraId="1F07996F" w14:textId="77777777" w:rsidR="000856EB" w:rsidRDefault="00DF6C1F">
                    <w:pPr>
                      <w:pStyle w:val="Nagwek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 w:rsidR="00AC5586">
                      <w:instrText>PAGE</w:instrText>
                    </w:r>
                    <w:r>
                      <w:fldChar w:fldCharType="separate"/>
                    </w:r>
                    <w:r w:rsidR="006B77B8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152"/>
    <w:multiLevelType w:val="hybridMultilevel"/>
    <w:tmpl w:val="D7BCC144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4788"/>
    <w:multiLevelType w:val="multilevel"/>
    <w:tmpl w:val="BDECAD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F523AF9"/>
    <w:multiLevelType w:val="hybridMultilevel"/>
    <w:tmpl w:val="693C7C0E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91D80"/>
    <w:multiLevelType w:val="hybridMultilevel"/>
    <w:tmpl w:val="E358545E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C5B8C"/>
    <w:multiLevelType w:val="hybridMultilevel"/>
    <w:tmpl w:val="AA982D0C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04134"/>
    <w:multiLevelType w:val="hybridMultilevel"/>
    <w:tmpl w:val="5616F864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07FE2"/>
    <w:multiLevelType w:val="hybridMultilevel"/>
    <w:tmpl w:val="85C8D236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1350"/>
    <w:multiLevelType w:val="multilevel"/>
    <w:tmpl w:val="53C62E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66528E0"/>
    <w:multiLevelType w:val="hybridMultilevel"/>
    <w:tmpl w:val="906C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467F3"/>
    <w:multiLevelType w:val="hybridMultilevel"/>
    <w:tmpl w:val="3E7EBD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053A31"/>
    <w:multiLevelType w:val="multilevel"/>
    <w:tmpl w:val="44583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4091E"/>
    <w:multiLevelType w:val="hybridMultilevel"/>
    <w:tmpl w:val="F836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107FB"/>
    <w:multiLevelType w:val="hybridMultilevel"/>
    <w:tmpl w:val="952AFB0A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807131">
    <w:abstractNumId w:val="10"/>
  </w:num>
  <w:num w:numId="2" w16cid:durableId="1971014793">
    <w:abstractNumId w:val="1"/>
  </w:num>
  <w:num w:numId="3" w16cid:durableId="162668908">
    <w:abstractNumId w:val="7"/>
  </w:num>
  <w:num w:numId="4" w16cid:durableId="2002347848">
    <w:abstractNumId w:val="0"/>
  </w:num>
  <w:num w:numId="5" w16cid:durableId="1788504075">
    <w:abstractNumId w:val="12"/>
  </w:num>
  <w:num w:numId="6" w16cid:durableId="1407993896">
    <w:abstractNumId w:val="6"/>
  </w:num>
  <w:num w:numId="7" w16cid:durableId="1580748578">
    <w:abstractNumId w:val="4"/>
  </w:num>
  <w:num w:numId="8" w16cid:durableId="1685090293">
    <w:abstractNumId w:val="3"/>
  </w:num>
  <w:num w:numId="9" w16cid:durableId="1769083596">
    <w:abstractNumId w:val="2"/>
  </w:num>
  <w:num w:numId="10" w16cid:durableId="1256785879">
    <w:abstractNumId w:val="5"/>
  </w:num>
  <w:num w:numId="11" w16cid:durableId="1076827269">
    <w:abstractNumId w:val="9"/>
  </w:num>
  <w:num w:numId="12" w16cid:durableId="635911163">
    <w:abstractNumId w:val="8"/>
  </w:num>
  <w:num w:numId="13" w16cid:durableId="12761354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EB"/>
    <w:rsid w:val="0000114C"/>
    <w:rsid w:val="00003125"/>
    <w:rsid w:val="00055938"/>
    <w:rsid w:val="000856EB"/>
    <w:rsid w:val="000F1648"/>
    <w:rsid w:val="001D2A3F"/>
    <w:rsid w:val="002E7416"/>
    <w:rsid w:val="0032649A"/>
    <w:rsid w:val="004D7C77"/>
    <w:rsid w:val="00552162"/>
    <w:rsid w:val="005B73B0"/>
    <w:rsid w:val="00627171"/>
    <w:rsid w:val="00630D58"/>
    <w:rsid w:val="00664142"/>
    <w:rsid w:val="006817AD"/>
    <w:rsid w:val="00685586"/>
    <w:rsid w:val="006B3C18"/>
    <w:rsid w:val="006B77B8"/>
    <w:rsid w:val="007C39E8"/>
    <w:rsid w:val="007E34FE"/>
    <w:rsid w:val="00802E4E"/>
    <w:rsid w:val="00814E27"/>
    <w:rsid w:val="0086519E"/>
    <w:rsid w:val="008A0311"/>
    <w:rsid w:val="008A4289"/>
    <w:rsid w:val="00932578"/>
    <w:rsid w:val="009359D2"/>
    <w:rsid w:val="009B3E4C"/>
    <w:rsid w:val="009F28AB"/>
    <w:rsid w:val="00A17C3A"/>
    <w:rsid w:val="00AC5586"/>
    <w:rsid w:val="00B801E2"/>
    <w:rsid w:val="00BC2D04"/>
    <w:rsid w:val="00C33632"/>
    <w:rsid w:val="00C33EBF"/>
    <w:rsid w:val="00C35736"/>
    <w:rsid w:val="00C36A9B"/>
    <w:rsid w:val="00CA3D24"/>
    <w:rsid w:val="00D171E3"/>
    <w:rsid w:val="00D76247"/>
    <w:rsid w:val="00DA4A01"/>
    <w:rsid w:val="00DB13DB"/>
    <w:rsid w:val="00DD6CD0"/>
    <w:rsid w:val="00DF6C1F"/>
    <w:rsid w:val="00E33D49"/>
    <w:rsid w:val="00E862B3"/>
    <w:rsid w:val="00EF7923"/>
    <w:rsid w:val="00F126C3"/>
    <w:rsid w:val="00F15005"/>
    <w:rsid w:val="00F65614"/>
    <w:rsid w:val="00FA1A0C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928E7"/>
  <w15:docId w15:val="{E5D241EC-C9B7-4E93-AEC5-174F12F2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09B"/>
    <w:rPr>
      <w:color w:val="00000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22226A"/>
    <w:rPr>
      <w:rFonts w:eastAsia="Times New Roman" w:cs="Times New Roman"/>
      <w:lang w:eastAsia="en-US"/>
    </w:rPr>
  </w:style>
  <w:style w:type="character" w:styleId="Numerstrony">
    <w:name w:val="page number"/>
    <w:basedOn w:val="Domylnaczcionkaakapitu"/>
    <w:uiPriority w:val="99"/>
    <w:semiHidden/>
    <w:qFormat/>
    <w:rsid w:val="0022226A"/>
    <w:rPr>
      <w:rFonts w:cs="Times New Roman"/>
    </w:rPr>
  </w:style>
  <w:style w:type="character" w:customStyle="1" w:styleId="ListLabel1">
    <w:name w:val="ListLabel 1"/>
    <w:qFormat/>
    <w:rsid w:val="00DF6C1F"/>
    <w:rPr>
      <w:rFonts w:ascii="Cambria" w:hAnsi="Cambria" w:cs="Times New Roman"/>
      <w:b/>
      <w:sz w:val="24"/>
    </w:rPr>
  </w:style>
  <w:style w:type="character" w:customStyle="1" w:styleId="ListLabel2">
    <w:name w:val="ListLabel 2"/>
    <w:qFormat/>
    <w:rsid w:val="00DF6C1F"/>
    <w:rPr>
      <w:rFonts w:cs="Times New Roman"/>
    </w:rPr>
  </w:style>
  <w:style w:type="character" w:customStyle="1" w:styleId="ListLabel3">
    <w:name w:val="ListLabel 3"/>
    <w:qFormat/>
    <w:rsid w:val="00DF6C1F"/>
    <w:rPr>
      <w:rFonts w:cs="Times New Roman"/>
    </w:rPr>
  </w:style>
  <w:style w:type="character" w:customStyle="1" w:styleId="ListLabel4">
    <w:name w:val="ListLabel 4"/>
    <w:qFormat/>
    <w:rsid w:val="00DF6C1F"/>
    <w:rPr>
      <w:rFonts w:cs="Times New Roman"/>
    </w:rPr>
  </w:style>
  <w:style w:type="character" w:customStyle="1" w:styleId="ListLabel5">
    <w:name w:val="ListLabel 5"/>
    <w:qFormat/>
    <w:rsid w:val="00DF6C1F"/>
    <w:rPr>
      <w:rFonts w:cs="Times New Roman"/>
    </w:rPr>
  </w:style>
  <w:style w:type="character" w:customStyle="1" w:styleId="ListLabel6">
    <w:name w:val="ListLabel 6"/>
    <w:qFormat/>
    <w:rsid w:val="00DF6C1F"/>
    <w:rPr>
      <w:rFonts w:cs="Times New Roman"/>
    </w:rPr>
  </w:style>
  <w:style w:type="character" w:customStyle="1" w:styleId="ListLabel7">
    <w:name w:val="ListLabel 7"/>
    <w:qFormat/>
    <w:rsid w:val="00DF6C1F"/>
    <w:rPr>
      <w:rFonts w:cs="Times New Roman"/>
    </w:rPr>
  </w:style>
  <w:style w:type="character" w:customStyle="1" w:styleId="ListLabel8">
    <w:name w:val="ListLabel 8"/>
    <w:qFormat/>
    <w:rsid w:val="00DF6C1F"/>
    <w:rPr>
      <w:rFonts w:cs="Times New Roman"/>
    </w:rPr>
  </w:style>
  <w:style w:type="character" w:customStyle="1" w:styleId="ListLabel9">
    <w:name w:val="ListLabel 9"/>
    <w:qFormat/>
    <w:rsid w:val="00DF6C1F"/>
    <w:rPr>
      <w:rFonts w:cs="Times New Roman"/>
    </w:rPr>
  </w:style>
  <w:style w:type="character" w:customStyle="1" w:styleId="ListLabel10">
    <w:name w:val="ListLabel 10"/>
    <w:qFormat/>
    <w:rsid w:val="00DF6C1F"/>
    <w:rPr>
      <w:rFonts w:ascii="Cambria" w:hAnsi="Cambria" w:cs="Times New Roman"/>
      <w:b/>
      <w:sz w:val="24"/>
    </w:rPr>
  </w:style>
  <w:style w:type="character" w:customStyle="1" w:styleId="ListLabel11">
    <w:name w:val="ListLabel 11"/>
    <w:qFormat/>
    <w:rsid w:val="00DF6C1F"/>
    <w:rPr>
      <w:rFonts w:cs="Times New Roman"/>
    </w:rPr>
  </w:style>
  <w:style w:type="character" w:customStyle="1" w:styleId="ListLabel12">
    <w:name w:val="ListLabel 12"/>
    <w:qFormat/>
    <w:rsid w:val="00DF6C1F"/>
    <w:rPr>
      <w:rFonts w:cs="Times New Roman"/>
    </w:rPr>
  </w:style>
  <w:style w:type="character" w:customStyle="1" w:styleId="ListLabel13">
    <w:name w:val="ListLabel 13"/>
    <w:qFormat/>
    <w:rsid w:val="00DF6C1F"/>
    <w:rPr>
      <w:rFonts w:cs="Times New Roman"/>
    </w:rPr>
  </w:style>
  <w:style w:type="character" w:customStyle="1" w:styleId="ListLabel14">
    <w:name w:val="ListLabel 14"/>
    <w:qFormat/>
    <w:rsid w:val="00DF6C1F"/>
    <w:rPr>
      <w:rFonts w:cs="Times New Roman"/>
    </w:rPr>
  </w:style>
  <w:style w:type="character" w:customStyle="1" w:styleId="ListLabel15">
    <w:name w:val="ListLabel 15"/>
    <w:qFormat/>
    <w:rsid w:val="00DF6C1F"/>
    <w:rPr>
      <w:rFonts w:cs="Times New Roman"/>
    </w:rPr>
  </w:style>
  <w:style w:type="character" w:customStyle="1" w:styleId="ListLabel16">
    <w:name w:val="ListLabel 16"/>
    <w:qFormat/>
    <w:rsid w:val="00DF6C1F"/>
    <w:rPr>
      <w:rFonts w:cs="Times New Roman"/>
    </w:rPr>
  </w:style>
  <w:style w:type="character" w:customStyle="1" w:styleId="ListLabel17">
    <w:name w:val="ListLabel 17"/>
    <w:qFormat/>
    <w:rsid w:val="00DF6C1F"/>
    <w:rPr>
      <w:rFonts w:cs="Times New Roman"/>
    </w:rPr>
  </w:style>
  <w:style w:type="character" w:customStyle="1" w:styleId="ListLabel18">
    <w:name w:val="ListLabel 18"/>
    <w:qFormat/>
    <w:rsid w:val="00DF6C1F"/>
    <w:rPr>
      <w:rFonts w:cs="Times New Roman"/>
    </w:rPr>
  </w:style>
  <w:style w:type="character" w:customStyle="1" w:styleId="ListLabel19">
    <w:name w:val="ListLabel 19"/>
    <w:qFormat/>
    <w:rsid w:val="00DF6C1F"/>
    <w:rPr>
      <w:rFonts w:ascii="Cambria" w:hAnsi="Cambria" w:cs="Times New Roman"/>
      <w:b/>
      <w:sz w:val="24"/>
    </w:rPr>
  </w:style>
  <w:style w:type="character" w:customStyle="1" w:styleId="ListLabel20">
    <w:name w:val="ListLabel 20"/>
    <w:qFormat/>
    <w:rsid w:val="00DF6C1F"/>
    <w:rPr>
      <w:rFonts w:cs="Times New Roman"/>
    </w:rPr>
  </w:style>
  <w:style w:type="character" w:customStyle="1" w:styleId="ListLabel21">
    <w:name w:val="ListLabel 21"/>
    <w:qFormat/>
    <w:rsid w:val="00DF6C1F"/>
    <w:rPr>
      <w:rFonts w:cs="Times New Roman"/>
    </w:rPr>
  </w:style>
  <w:style w:type="character" w:customStyle="1" w:styleId="ListLabel22">
    <w:name w:val="ListLabel 22"/>
    <w:qFormat/>
    <w:rsid w:val="00DF6C1F"/>
    <w:rPr>
      <w:rFonts w:cs="Times New Roman"/>
    </w:rPr>
  </w:style>
  <w:style w:type="character" w:customStyle="1" w:styleId="ListLabel23">
    <w:name w:val="ListLabel 23"/>
    <w:qFormat/>
    <w:rsid w:val="00DF6C1F"/>
    <w:rPr>
      <w:rFonts w:cs="Times New Roman"/>
    </w:rPr>
  </w:style>
  <w:style w:type="character" w:customStyle="1" w:styleId="ListLabel24">
    <w:name w:val="ListLabel 24"/>
    <w:qFormat/>
    <w:rsid w:val="00DF6C1F"/>
    <w:rPr>
      <w:rFonts w:cs="Times New Roman"/>
    </w:rPr>
  </w:style>
  <w:style w:type="character" w:customStyle="1" w:styleId="ListLabel25">
    <w:name w:val="ListLabel 25"/>
    <w:qFormat/>
    <w:rsid w:val="00DF6C1F"/>
    <w:rPr>
      <w:rFonts w:cs="Times New Roman"/>
    </w:rPr>
  </w:style>
  <w:style w:type="character" w:customStyle="1" w:styleId="ListLabel26">
    <w:name w:val="ListLabel 26"/>
    <w:qFormat/>
    <w:rsid w:val="00DF6C1F"/>
    <w:rPr>
      <w:rFonts w:cs="Times New Roman"/>
    </w:rPr>
  </w:style>
  <w:style w:type="character" w:customStyle="1" w:styleId="ListLabel27">
    <w:name w:val="ListLabel 27"/>
    <w:qFormat/>
    <w:rsid w:val="00DF6C1F"/>
    <w:rPr>
      <w:rFonts w:cs="Times New Roman"/>
    </w:rPr>
  </w:style>
  <w:style w:type="character" w:customStyle="1" w:styleId="ListLabel28">
    <w:name w:val="ListLabel 28"/>
    <w:qFormat/>
    <w:rsid w:val="00DF6C1F"/>
    <w:rPr>
      <w:rFonts w:ascii="Cambria" w:hAnsi="Cambria" w:cs="Times New Roman"/>
      <w:b/>
      <w:sz w:val="24"/>
    </w:rPr>
  </w:style>
  <w:style w:type="character" w:customStyle="1" w:styleId="ListLabel29">
    <w:name w:val="ListLabel 29"/>
    <w:qFormat/>
    <w:rsid w:val="00DF6C1F"/>
    <w:rPr>
      <w:rFonts w:cs="Times New Roman"/>
    </w:rPr>
  </w:style>
  <w:style w:type="character" w:customStyle="1" w:styleId="ListLabel30">
    <w:name w:val="ListLabel 30"/>
    <w:qFormat/>
    <w:rsid w:val="00DF6C1F"/>
    <w:rPr>
      <w:rFonts w:cs="Times New Roman"/>
    </w:rPr>
  </w:style>
  <w:style w:type="character" w:customStyle="1" w:styleId="ListLabel31">
    <w:name w:val="ListLabel 31"/>
    <w:qFormat/>
    <w:rsid w:val="00DF6C1F"/>
    <w:rPr>
      <w:rFonts w:cs="Times New Roman"/>
    </w:rPr>
  </w:style>
  <w:style w:type="character" w:customStyle="1" w:styleId="ListLabel32">
    <w:name w:val="ListLabel 32"/>
    <w:qFormat/>
    <w:rsid w:val="00DF6C1F"/>
    <w:rPr>
      <w:rFonts w:cs="Times New Roman"/>
    </w:rPr>
  </w:style>
  <w:style w:type="character" w:customStyle="1" w:styleId="ListLabel33">
    <w:name w:val="ListLabel 33"/>
    <w:qFormat/>
    <w:rsid w:val="00DF6C1F"/>
    <w:rPr>
      <w:rFonts w:cs="Times New Roman"/>
    </w:rPr>
  </w:style>
  <w:style w:type="character" w:customStyle="1" w:styleId="ListLabel34">
    <w:name w:val="ListLabel 34"/>
    <w:qFormat/>
    <w:rsid w:val="00DF6C1F"/>
    <w:rPr>
      <w:rFonts w:cs="Times New Roman"/>
    </w:rPr>
  </w:style>
  <w:style w:type="character" w:customStyle="1" w:styleId="ListLabel35">
    <w:name w:val="ListLabel 35"/>
    <w:qFormat/>
    <w:rsid w:val="00DF6C1F"/>
    <w:rPr>
      <w:rFonts w:cs="Times New Roman"/>
    </w:rPr>
  </w:style>
  <w:style w:type="character" w:customStyle="1" w:styleId="ListLabel36">
    <w:name w:val="ListLabel 36"/>
    <w:qFormat/>
    <w:rsid w:val="00DF6C1F"/>
    <w:rPr>
      <w:rFonts w:cs="Times New Roman"/>
    </w:rPr>
  </w:style>
  <w:style w:type="character" w:customStyle="1" w:styleId="ListLabel37">
    <w:name w:val="ListLabel 37"/>
    <w:qFormat/>
    <w:rsid w:val="00DF6C1F"/>
    <w:rPr>
      <w:rFonts w:ascii="Cambria" w:hAnsi="Cambria" w:cs="Times New Roman"/>
      <w:b/>
      <w:sz w:val="24"/>
    </w:rPr>
  </w:style>
  <w:style w:type="character" w:customStyle="1" w:styleId="ListLabel38">
    <w:name w:val="ListLabel 38"/>
    <w:qFormat/>
    <w:rsid w:val="00DF6C1F"/>
    <w:rPr>
      <w:rFonts w:cs="Times New Roman"/>
    </w:rPr>
  </w:style>
  <w:style w:type="character" w:customStyle="1" w:styleId="ListLabel39">
    <w:name w:val="ListLabel 39"/>
    <w:qFormat/>
    <w:rsid w:val="00DF6C1F"/>
    <w:rPr>
      <w:rFonts w:cs="Times New Roman"/>
    </w:rPr>
  </w:style>
  <w:style w:type="character" w:customStyle="1" w:styleId="ListLabel40">
    <w:name w:val="ListLabel 40"/>
    <w:qFormat/>
    <w:rsid w:val="00DF6C1F"/>
    <w:rPr>
      <w:rFonts w:cs="Times New Roman"/>
    </w:rPr>
  </w:style>
  <w:style w:type="character" w:customStyle="1" w:styleId="ListLabel41">
    <w:name w:val="ListLabel 41"/>
    <w:qFormat/>
    <w:rsid w:val="00DF6C1F"/>
    <w:rPr>
      <w:rFonts w:cs="Times New Roman"/>
    </w:rPr>
  </w:style>
  <w:style w:type="character" w:customStyle="1" w:styleId="ListLabel42">
    <w:name w:val="ListLabel 42"/>
    <w:qFormat/>
    <w:rsid w:val="00DF6C1F"/>
    <w:rPr>
      <w:rFonts w:cs="Times New Roman"/>
    </w:rPr>
  </w:style>
  <w:style w:type="character" w:customStyle="1" w:styleId="ListLabel43">
    <w:name w:val="ListLabel 43"/>
    <w:qFormat/>
    <w:rsid w:val="00DF6C1F"/>
    <w:rPr>
      <w:rFonts w:cs="Times New Roman"/>
    </w:rPr>
  </w:style>
  <w:style w:type="character" w:customStyle="1" w:styleId="ListLabel44">
    <w:name w:val="ListLabel 44"/>
    <w:qFormat/>
    <w:rsid w:val="00DF6C1F"/>
    <w:rPr>
      <w:rFonts w:cs="Times New Roman"/>
    </w:rPr>
  </w:style>
  <w:style w:type="character" w:customStyle="1" w:styleId="ListLabel45">
    <w:name w:val="ListLabel 45"/>
    <w:qFormat/>
    <w:rsid w:val="00DF6C1F"/>
    <w:rPr>
      <w:rFonts w:cs="Times New Roman"/>
    </w:rPr>
  </w:style>
  <w:style w:type="character" w:customStyle="1" w:styleId="Znakinumeracji">
    <w:name w:val="Znaki numeracji"/>
    <w:qFormat/>
    <w:rsid w:val="00DF6C1F"/>
  </w:style>
  <w:style w:type="paragraph" w:styleId="Nagwek">
    <w:name w:val="header"/>
    <w:basedOn w:val="Normalny"/>
    <w:next w:val="Tekstpodstawowy"/>
    <w:link w:val="NagwekZnak"/>
    <w:uiPriority w:val="99"/>
    <w:rsid w:val="0022226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F6C1F"/>
    <w:pPr>
      <w:spacing w:after="140" w:line="288" w:lineRule="auto"/>
    </w:pPr>
  </w:style>
  <w:style w:type="paragraph" w:styleId="Lista">
    <w:name w:val="List"/>
    <w:basedOn w:val="Tekstpodstawowy"/>
    <w:rsid w:val="00DF6C1F"/>
    <w:rPr>
      <w:rFonts w:cs="Arial"/>
    </w:rPr>
  </w:style>
  <w:style w:type="paragraph" w:styleId="Legenda">
    <w:name w:val="caption"/>
    <w:basedOn w:val="Normalny"/>
    <w:qFormat/>
    <w:rsid w:val="00DF6C1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F6C1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73309B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73309B"/>
    <w:pPr>
      <w:spacing w:beforeAutospacing="1" w:afterAutospacing="1"/>
    </w:pPr>
    <w:rPr>
      <w:rFonts w:ascii="Times" w:hAnsi="Times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DF6C1F"/>
  </w:style>
  <w:style w:type="paragraph" w:styleId="Tekstdymka">
    <w:name w:val="Balloon Text"/>
    <w:basedOn w:val="Normalny"/>
    <w:link w:val="TekstdymkaZnak"/>
    <w:uiPriority w:val="99"/>
    <w:semiHidden/>
    <w:unhideWhenUsed/>
    <w:rsid w:val="000559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938"/>
    <w:rPr>
      <w:rFonts w:ascii="Segoe UI" w:hAnsi="Segoe UI" w:cs="Segoe UI"/>
      <w:color w:val="00000A"/>
      <w:sz w:val="18"/>
      <w:szCs w:val="18"/>
      <w:lang w:val="cs-CZ" w:eastAsia="en-US"/>
    </w:rPr>
  </w:style>
  <w:style w:type="paragraph" w:styleId="Poprawka">
    <w:name w:val="Revision"/>
    <w:hidden/>
    <w:uiPriority w:val="99"/>
    <w:semiHidden/>
    <w:rsid w:val="00D76247"/>
    <w:rPr>
      <w:color w:val="00000A"/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Egzaminy – prawo cywilne</vt:lpstr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Egzaminy – prawo cywilne</dc:title>
  <dc:creator>admin</dc:creator>
  <cp:lastModifiedBy>Martyna Seroka</cp:lastModifiedBy>
  <cp:revision>2</cp:revision>
  <cp:lastPrinted>2018-01-30T12:19:00Z</cp:lastPrinted>
  <dcterms:created xsi:type="dcterms:W3CDTF">2023-05-17T17:59:00Z</dcterms:created>
  <dcterms:modified xsi:type="dcterms:W3CDTF">2023-05-17T17:59:00Z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