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AEBA" w14:textId="77777777" w:rsidR="001D6F44" w:rsidRPr="00F91A51" w:rsidRDefault="001D6F44" w:rsidP="001D6F44">
      <w:pPr>
        <w:spacing w:line="360" w:lineRule="auto"/>
        <w:jc w:val="center"/>
        <w:rPr>
          <w:b/>
          <w:bCs/>
        </w:rPr>
      </w:pPr>
      <w:r w:rsidRPr="00F91A51">
        <w:rPr>
          <w:b/>
          <w:bCs/>
        </w:rPr>
        <w:t>Pytania egzaminacyjne (egzamin dyplomowy) pracowników Katedry Postępowania Administracyjnego i Sądownictwa Administracyjnego</w:t>
      </w:r>
    </w:p>
    <w:p w14:paraId="77F9F34D" w14:textId="15864D60" w:rsidR="00896849" w:rsidRPr="00F91A51" w:rsidRDefault="00896849" w:rsidP="00896849">
      <w:pPr>
        <w:spacing w:line="360" w:lineRule="auto"/>
        <w:jc w:val="both"/>
        <w:rPr>
          <w:b/>
          <w:bCs/>
        </w:rPr>
      </w:pPr>
      <w:r w:rsidRPr="00F91A51">
        <w:rPr>
          <w:b/>
          <w:bCs/>
        </w:rPr>
        <w:t xml:space="preserve">Pytania egzaminacyjne na kierunku </w:t>
      </w:r>
      <w:r w:rsidR="00993DE4" w:rsidRPr="00F91A51">
        <w:rPr>
          <w:b/>
          <w:bCs/>
        </w:rPr>
        <w:t>Bezpieczeństwo Wewnętrze</w:t>
      </w:r>
      <w:r w:rsidRPr="00F91A51">
        <w:rPr>
          <w:b/>
          <w:bCs/>
        </w:rPr>
        <w:t xml:space="preserve"> – studia </w:t>
      </w:r>
      <w:r w:rsidR="00DA21D3" w:rsidRPr="00F91A51">
        <w:rPr>
          <w:b/>
          <w:bCs/>
        </w:rPr>
        <w:t xml:space="preserve">drugiego </w:t>
      </w:r>
      <w:r w:rsidRPr="00F91A51">
        <w:rPr>
          <w:b/>
          <w:bCs/>
        </w:rPr>
        <w:t>stopnia, studia stacjonarne i niestacjonarne</w:t>
      </w:r>
    </w:p>
    <w:p w14:paraId="4AF7DA17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Pojęcie postępowania administracyjnego.</w:t>
      </w:r>
    </w:p>
    <w:p w14:paraId="21768DC8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Jaki jest zakres obowiązywania k.p.a.?</w:t>
      </w:r>
    </w:p>
    <w:p w14:paraId="5C29FAEF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F91A51">
        <w:t>Pojęcie i rola zasad ogólnych w k.p.a.</w:t>
      </w:r>
    </w:p>
    <w:p w14:paraId="518C9564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Zasada praworządności.</w:t>
      </w:r>
    </w:p>
    <w:p w14:paraId="194BECC1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Zasada dwuinstancyjności postępowania.</w:t>
      </w:r>
    </w:p>
    <w:p w14:paraId="10C67046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Zasada czynnego udziału stron w postępowaniu administracyjnym.</w:t>
      </w:r>
    </w:p>
    <w:p w14:paraId="27CDDDD6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Zasada ugodowego załatwiania spraw spornych i instytucja ugody.</w:t>
      </w:r>
    </w:p>
    <w:p w14:paraId="1FC41B42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Zasada prawdy materialnej i formalnej w postępowaniu administracyjnym.</w:t>
      </w:r>
    </w:p>
    <w:p w14:paraId="41567583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Strona w postępowaniu administracyjnym i przykłady praw strony w postępowaniu.</w:t>
      </w:r>
    </w:p>
    <w:p w14:paraId="2CE707D2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Współuczestnictwo w postępowaniu administracyjnym.</w:t>
      </w:r>
    </w:p>
    <w:p w14:paraId="3623C5FA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Podmioty na prawach strony w postępowaniu administracyjnym – rodzaje, uprawnienia.</w:t>
      </w:r>
    </w:p>
    <w:p w14:paraId="156ED4A0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Kto może być pełnomocnikiem w postępowaniu administracyjnym.</w:t>
      </w:r>
    </w:p>
    <w:p w14:paraId="57DFB891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F91A51">
        <w:t>Jakie są terminy załatwiania spraw w postępowaniu administracyjnym.</w:t>
      </w:r>
    </w:p>
    <w:p w14:paraId="3CB88697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F91A51">
        <w:t>Omów instytucję ponaglenia.</w:t>
      </w:r>
    </w:p>
    <w:p w14:paraId="0E10289F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F91A51">
        <w:t>Bezczynność a przewlekłość w postępowaniu.</w:t>
      </w:r>
    </w:p>
    <w:p w14:paraId="1CF32678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Zdefiniuj organ administracji publicznej oraz organ jednostki samorządu terytorialnego, ministra – według k.p.a.</w:t>
      </w:r>
    </w:p>
    <w:p w14:paraId="1C310B6A" w14:textId="498A286A" w:rsidR="0015457E" w:rsidRPr="00F91A51" w:rsidRDefault="00896849" w:rsidP="0015457E">
      <w:pPr>
        <w:numPr>
          <w:ilvl w:val="0"/>
          <w:numId w:val="3"/>
        </w:numPr>
        <w:spacing w:line="360" w:lineRule="auto"/>
        <w:jc w:val="both"/>
      </w:pPr>
      <w:r w:rsidRPr="00F91A51">
        <w:t>Właściwość w postępowaniu administracyjnym i rodzaje właściwości.</w:t>
      </w:r>
    </w:p>
    <w:p w14:paraId="1BB2C6E0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Na czym polega bezczynność organu w postępowaniu administracyjnym i jakie środki przysługują do zwalczania bezczynności?</w:t>
      </w:r>
    </w:p>
    <w:p w14:paraId="34844EA6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Podanie w postępowaniu administracyjnym – treść, sposoby wnoszenia, forma podania.</w:t>
      </w:r>
    </w:p>
    <w:p w14:paraId="52CA16E3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Podanie w formie dokumentu elektronicznego – charakterystyka.</w:t>
      </w:r>
    </w:p>
    <w:p w14:paraId="2DDCE17A" w14:textId="1943F21D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Braki formalne podania i tryb ich usuwania w postępowaniu administracyjnym.</w:t>
      </w:r>
    </w:p>
    <w:p w14:paraId="5EABFA35" w14:textId="799DF234" w:rsidR="00577206" w:rsidRPr="00F91A51" w:rsidRDefault="00577206" w:rsidP="00896849">
      <w:pPr>
        <w:numPr>
          <w:ilvl w:val="0"/>
          <w:numId w:val="3"/>
        </w:numPr>
        <w:spacing w:line="360" w:lineRule="auto"/>
        <w:jc w:val="both"/>
      </w:pPr>
      <w:r w:rsidRPr="00F91A51">
        <w:t>Wniesienie podania do organu niewłaściwego</w:t>
      </w:r>
    </w:p>
    <w:p w14:paraId="3B61BB3D" w14:textId="37284D30" w:rsidR="00577206" w:rsidRPr="00F91A51" w:rsidRDefault="00577206" w:rsidP="00896849">
      <w:pPr>
        <w:numPr>
          <w:ilvl w:val="0"/>
          <w:numId w:val="3"/>
        </w:numPr>
        <w:spacing w:line="360" w:lineRule="auto"/>
        <w:jc w:val="both"/>
      </w:pPr>
      <w:r w:rsidRPr="00F91A51">
        <w:t>Metryki i adnotacje w postępowaniu administracyjnym</w:t>
      </w:r>
    </w:p>
    <w:p w14:paraId="2025F046" w14:textId="00033E07" w:rsidR="00577206" w:rsidRPr="00F91A51" w:rsidRDefault="00577206" w:rsidP="00896849">
      <w:pPr>
        <w:numPr>
          <w:ilvl w:val="0"/>
          <w:numId w:val="3"/>
        </w:numPr>
        <w:spacing w:line="360" w:lineRule="auto"/>
        <w:jc w:val="both"/>
      </w:pPr>
      <w:r w:rsidRPr="00F91A51">
        <w:t>EZD i archiwizacja dokumentów w postępowaniu administracyjnym</w:t>
      </w:r>
    </w:p>
    <w:p w14:paraId="0DC2C516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Rozprawa administracyjna i przesłanki jej przeprowadzenia.</w:t>
      </w:r>
    </w:p>
    <w:p w14:paraId="040FA693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lastRenderedPageBreak/>
        <w:t>Pojęcie dowodu i rodzaje dowodów przeprowadzanych w postępowaniu administracyjnym.</w:t>
      </w:r>
    </w:p>
    <w:p w14:paraId="6776171D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Pojęcie dokumentu urzędowego i przykłady takich dokumentów.</w:t>
      </w:r>
    </w:p>
    <w:p w14:paraId="386198D7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Dokumenty prywatne i znaki legitymacyjne w postępowaniu administracyjnym.</w:t>
      </w:r>
    </w:p>
    <w:p w14:paraId="133139C3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Zawieszenie postępowania administracyjnego – przesłanki, forma.</w:t>
      </w:r>
    </w:p>
    <w:p w14:paraId="6281B685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Umorzenie postępowania administracyjnego – przesłanki, forma.</w:t>
      </w:r>
    </w:p>
    <w:p w14:paraId="2543ED80" w14:textId="5D303ED4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Charakterystyka decyzji administracyjnej.</w:t>
      </w:r>
    </w:p>
    <w:p w14:paraId="1EE72DA0" w14:textId="4226F484" w:rsidR="00EC13A0" w:rsidRPr="00F91A51" w:rsidRDefault="00EC13A0" w:rsidP="00896849">
      <w:pPr>
        <w:numPr>
          <w:ilvl w:val="0"/>
          <w:numId w:val="3"/>
        </w:numPr>
        <w:spacing w:line="360" w:lineRule="auto"/>
        <w:jc w:val="both"/>
      </w:pPr>
      <w:r w:rsidRPr="00F91A51">
        <w:t>Wydawanie decyzji w sposób automatyczny</w:t>
      </w:r>
    </w:p>
    <w:p w14:paraId="62D51385" w14:textId="50006C01" w:rsidR="00EC13A0" w:rsidRPr="00F91A51" w:rsidRDefault="00EC13A0" w:rsidP="00896849">
      <w:pPr>
        <w:numPr>
          <w:ilvl w:val="0"/>
          <w:numId w:val="3"/>
        </w:numPr>
        <w:spacing w:line="360" w:lineRule="auto"/>
        <w:jc w:val="both"/>
      </w:pPr>
      <w:r w:rsidRPr="00F91A51">
        <w:t>Wykonalność decyzji administracyjnej</w:t>
      </w:r>
    </w:p>
    <w:p w14:paraId="39FB1188" w14:textId="3B3C4738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Odwołanie od decyzji administracyjnej.</w:t>
      </w:r>
    </w:p>
    <w:p w14:paraId="1284F58E" w14:textId="2E71C21B" w:rsidR="00EC13A0" w:rsidRPr="00F91A51" w:rsidRDefault="00EC13A0" w:rsidP="00896849">
      <w:pPr>
        <w:numPr>
          <w:ilvl w:val="0"/>
          <w:numId w:val="3"/>
        </w:numPr>
        <w:spacing w:line="360" w:lineRule="auto"/>
        <w:jc w:val="both"/>
      </w:pPr>
      <w:r w:rsidRPr="00F91A51">
        <w:t>Cofnięcie odwołania od decyzji</w:t>
      </w:r>
    </w:p>
    <w:p w14:paraId="6FDC5390" w14:textId="0A22AC74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Zażalenie na postanowienie w postępowaniu administracyjnym.</w:t>
      </w:r>
    </w:p>
    <w:p w14:paraId="6F3E83C1" w14:textId="18B23259" w:rsidR="001953C6" w:rsidRPr="00F91A51" w:rsidRDefault="001953C6" w:rsidP="00896849">
      <w:pPr>
        <w:numPr>
          <w:ilvl w:val="0"/>
          <w:numId w:val="3"/>
        </w:numPr>
        <w:spacing w:line="360" w:lineRule="auto"/>
        <w:jc w:val="both"/>
      </w:pPr>
      <w:r w:rsidRPr="00F91A51">
        <w:t>Zakaz zmiany na niekorzyść w postępowaniu administracyjnym</w:t>
      </w:r>
    </w:p>
    <w:p w14:paraId="727EAE40" w14:textId="45DFB0CB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Wznowienie postępowania administracyjnego.</w:t>
      </w:r>
    </w:p>
    <w:p w14:paraId="318E470C" w14:textId="3F3FB228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>Stwierdzenie nieważności decyzji administracyjnej</w:t>
      </w:r>
    </w:p>
    <w:p w14:paraId="09A29076" w14:textId="73F2EBD8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>Nadzwyczajne tryby zmiany lub uchylenia decyzji ostatecznej</w:t>
      </w:r>
    </w:p>
    <w:p w14:paraId="494EA039" w14:textId="170D3FDE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>Sposoby doręczeń w postępowaniu administracyjnym</w:t>
      </w:r>
    </w:p>
    <w:p w14:paraId="7257DF18" w14:textId="2B49F3A0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>System doręczeń elektronicznych w postępowaniu administracyjnym</w:t>
      </w:r>
    </w:p>
    <w:p w14:paraId="4F140DB3" w14:textId="308BC518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 xml:space="preserve">Usługi </w:t>
      </w:r>
      <w:r w:rsidRPr="00F91A51">
        <w:rPr>
          <w:i/>
          <w:iCs/>
        </w:rPr>
        <w:t>online</w:t>
      </w:r>
      <w:r w:rsidRPr="00F91A51">
        <w:t xml:space="preserve"> w organach administracji publicznej</w:t>
      </w:r>
    </w:p>
    <w:p w14:paraId="53459C58" w14:textId="743C5C8F" w:rsidR="002001D4" w:rsidRPr="00F91A51" w:rsidRDefault="002001D4" w:rsidP="00896849">
      <w:pPr>
        <w:numPr>
          <w:ilvl w:val="0"/>
          <w:numId w:val="3"/>
        </w:numPr>
        <w:spacing w:line="360" w:lineRule="auto"/>
        <w:jc w:val="both"/>
      </w:pPr>
      <w:r w:rsidRPr="00F91A51">
        <w:t>Rodzaje podpisów elektronicznych wykorzystywanych w postępowaniu przed organami administracji publicznej</w:t>
      </w:r>
      <w:r w:rsidR="0015457E" w:rsidRPr="00F91A51">
        <w:t>.</w:t>
      </w:r>
    </w:p>
    <w:p w14:paraId="50735979" w14:textId="587DFED4" w:rsidR="0015457E" w:rsidRPr="00F91A51" w:rsidRDefault="0015457E" w:rsidP="00896849">
      <w:pPr>
        <w:numPr>
          <w:ilvl w:val="0"/>
          <w:numId w:val="3"/>
        </w:numPr>
        <w:spacing w:line="360" w:lineRule="auto"/>
        <w:jc w:val="both"/>
      </w:pPr>
      <w:r w:rsidRPr="00F91A51">
        <w:t>Postępowanie o wydanie zaświadczenia</w:t>
      </w:r>
    </w:p>
    <w:p w14:paraId="4D269191" w14:textId="03257105" w:rsidR="0015457E" w:rsidRPr="00F91A51" w:rsidRDefault="0015457E" w:rsidP="00896849">
      <w:pPr>
        <w:numPr>
          <w:ilvl w:val="0"/>
          <w:numId w:val="3"/>
        </w:numPr>
        <w:spacing w:line="360" w:lineRule="auto"/>
        <w:jc w:val="both"/>
      </w:pPr>
      <w:r w:rsidRPr="00F91A51">
        <w:t>Postępowanie skargowe i wnioskowe</w:t>
      </w:r>
    </w:p>
    <w:p w14:paraId="4E6D7713" w14:textId="59CBF5AD" w:rsidR="0015457E" w:rsidRPr="00F91A51" w:rsidRDefault="0015457E" w:rsidP="00896849">
      <w:pPr>
        <w:numPr>
          <w:ilvl w:val="0"/>
          <w:numId w:val="3"/>
        </w:numPr>
        <w:spacing w:line="360" w:lineRule="auto"/>
        <w:jc w:val="both"/>
      </w:pPr>
      <w:r w:rsidRPr="00F91A51">
        <w:t>Europejska współpraca w sprawach administracyjnych – zasady</w:t>
      </w:r>
    </w:p>
    <w:p w14:paraId="009CC538" w14:textId="7BA40C8A" w:rsidR="0015457E" w:rsidRPr="00F91A51" w:rsidRDefault="0015457E" w:rsidP="00896849">
      <w:pPr>
        <w:numPr>
          <w:ilvl w:val="0"/>
          <w:numId w:val="3"/>
        </w:numPr>
        <w:spacing w:line="360" w:lineRule="auto"/>
        <w:jc w:val="both"/>
      </w:pPr>
      <w:r w:rsidRPr="00F91A51">
        <w:t>Ogólne i szczególne postępowanie administracyjne – różnice</w:t>
      </w:r>
    </w:p>
    <w:p w14:paraId="56A10265" w14:textId="64555DDC" w:rsidR="003516C4" w:rsidRPr="00F91A51" w:rsidRDefault="0015457E" w:rsidP="003516C4">
      <w:pPr>
        <w:numPr>
          <w:ilvl w:val="0"/>
          <w:numId w:val="3"/>
        </w:numPr>
        <w:spacing w:line="360" w:lineRule="auto"/>
        <w:jc w:val="both"/>
      </w:pPr>
      <w:r w:rsidRPr="00F91A51">
        <w:t>Postępowanie administracyjne zwyczajne, nadzwyczajne, zwykłe, uproszczone, hybrydowe</w:t>
      </w:r>
      <w:r w:rsidR="003516C4" w:rsidRPr="00F91A51">
        <w:t>.</w:t>
      </w:r>
    </w:p>
    <w:p w14:paraId="33981735" w14:textId="064C25A6" w:rsidR="0015457E" w:rsidRPr="00F91A51" w:rsidRDefault="0015457E" w:rsidP="00896849">
      <w:pPr>
        <w:numPr>
          <w:ilvl w:val="0"/>
          <w:numId w:val="3"/>
        </w:numPr>
        <w:spacing w:line="360" w:lineRule="auto"/>
        <w:jc w:val="both"/>
      </w:pPr>
      <w:r w:rsidRPr="00F91A51">
        <w:t>Ochrona informacji niejawnych w postępowaniu administracyjnym i sądowoadministracyjnym</w:t>
      </w:r>
    </w:p>
    <w:p w14:paraId="324D0DA0" w14:textId="00B76E4A" w:rsidR="00886042" w:rsidRPr="00F91A51" w:rsidRDefault="00886042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Zasada powszechności doręczeń elektronicznych</w:t>
      </w:r>
    </w:p>
    <w:p w14:paraId="180EB918" w14:textId="66E5C514" w:rsidR="00886042" w:rsidRPr="00F91A51" w:rsidRDefault="00886042" w:rsidP="00896849">
      <w:pPr>
        <w:numPr>
          <w:ilvl w:val="0"/>
          <w:numId w:val="3"/>
        </w:numPr>
        <w:spacing w:line="360" w:lineRule="auto"/>
        <w:jc w:val="both"/>
      </w:pPr>
      <w:r w:rsidRPr="00F91A51">
        <w:t>Doręczenie na konto w systemie teleinformatycznym organu</w:t>
      </w:r>
    </w:p>
    <w:p w14:paraId="00EFBFAB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Zarzuty w postępowaniu egzekucyjnym w administracji.</w:t>
      </w:r>
    </w:p>
    <w:p w14:paraId="0898C4B0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Zażalenie na postanowienie w postępowaniu egzekucyjnym w administracji.</w:t>
      </w:r>
    </w:p>
    <w:p w14:paraId="67BE44F1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lastRenderedPageBreak/>
        <w:t>Wniosek o wyłączenie rzeczy lub prawa majątkowego spod egzekucji w postępowaniu egzekucyjnym w administracji.</w:t>
      </w:r>
    </w:p>
    <w:p w14:paraId="0967AEF4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Środki egzekucyjne – pojęcie, rodzaje.</w:t>
      </w:r>
    </w:p>
    <w:p w14:paraId="69AF76E4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Tytuł egzekucyjny – pojęcie, treść, rola.</w:t>
      </w:r>
    </w:p>
    <w:p w14:paraId="0B710823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Zasady ogólne postępowania egzekucyjnego.</w:t>
      </w:r>
    </w:p>
    <w:p w14:paraId="0A51CB22" w14:textId="1012094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F91A51">
        <w:t>Uczestnicy postępowania egzekucyjnego.</w:t>
      </w:r>
    </w:p>
    <w:p w14:paraId="1EFAA124" w14:textId="06926444" w:rsidR="001953C6" w:rsidRPr="00F91A51" w:rsidRDefault="001953C6" w:rsidP="00896849">
      <w:pPr>
        <w:numPr>
          <w:ilvl w:val="0"/>
          <w:numId w:val="3"/>
        </w:numPr>
        <w:spacing w:line="360" w:lineRule="auto"/>
        <w:jc w:val="both"/>
      </w:pPr>
      <w:r w:rsidRPr="00F91A51">
        <w:t>Środki egzekucyjne obowiązków pieniężnych i niepieniężnych</w:t>
      </w:r>
    </w:p>
    <w:p w14:paraId="391D39D4" w14:textId="2EC55906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</w:pPr>
      <w:r w:rsidRPr="00F91A51">
        <w:t>Grzywna w celu przymuszenia</w:t>
      </w:r>
    </w:p>
    <w:p w14:paraId="63F50355" w14:textId="6E7B26A2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</w:pPr>
      <w:r w:rsidRPr="00F91A51">
        <w:t>Egzekucja z wynagrodzenia za pracę</w:t>
      </w:r>
    </w:p>
    <w:p w14:paraId="05860F10" w14:textId="3EDFCD8C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</w:pPr>
      <w:r w:rsidRPr="00F91A51">
        <w:t>Egzekucja z rachunku bankowego i wkładu oszczędnościowego</w:t>
      </w:r>
    </w:p>
    <w:p w14:paraId="5C51D389" w14:textId="2ADD5185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</w:pPr>
      <w:r w:rsidRPr="00F91A51">
        <w:t>Zbieg egzekucji administracyjnej i sądowej</w:t>
      </w:r>
    </w:p>
    <w:p w14:paraId="078D371B" w14:textId="33D7F008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</w:pPr>
      <w:r w:rsidRPr="00F91A51">
        <w:t xml:space="preserve">Sądowa kontrola egzekucji administracyjnej (powództwa </w:t>
      </w:r>
      <w:proofErr w:type="spellStart"/>
      <w:r w:rsidRPr="00F91A51">
        <w:t>przeciwegzekucyjne</w:t>
      </w:r>
      <w:proofErr w:type="spellEnd"/>
      <w:r w:rsidRPr="00F91A51">
        <w:t>, skarga do WSA)</w:t>
      </w:r>
    </w:p>
    <w:p w14:paraId="7EEA9577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F91A51">
        <w:rPr>
          <w:bCs/>
        </w:rPr>
        <w:t>Kognicja wojewódzkich sądów administracyjnych.</w:t>
      </w:r>
    </w:p>
    <w:p w14:paraId="0874E654" w14:textId="7E20207E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F91A51">
        <w:rPr>
          <w:bCs/>
        </w:rPr>
        <w:t xml:space="preserve">W jakim składzie sąd administracyjny orzeka na rozprawie w I </w:t>
      </w:r>
      <w:proofErr w:type="spellStart"/>
      <w:r w:rsidRPr="00F91A51">
        <w:rPr>
          <w:bCs/>
        </w:rPr>
        <w:t>i</w:t>
      </w:r>
      <w:proofErr w:type="spellEnd"/>
      <w:r w:rsidRPr="00F91A51">
        <w:rPr>
          <w:bCs/>
        </w:rPr>
        <w:t xml:space="preserve"> w II instancji?</w:t>
      </w:r>
    </w:p>
    <w:p w14:paraId="318B8DD1" w14:textId="2B622DA1" w:rsidR="002C5AAE" w:rsidRPr="00F91A51" w:rsidRDefault="002C5AAE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F91A51">
        <w:rPr>
          <w:bCs/>
        </w:rPr>
        <w:t>Wyłączenie sędziego sądu administracyjnego</w:t>
      </w:r>
    </w:p>
    <w:p w14:paraId="07B4CDCE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F91A51">
        <w:rPr>
          <w:bCs/>
        </w:rPr>
        <w:t>Kto może być pełnomocnikiem strony w postępowaniu sądowoadministracyjnym?</w:t>
      </w:r>
    </w:p>
    <w:p w14:paraId="3E480E89" w14:textId="77777777" w:rsidR="00896849" w:rsidRPr="00F91A51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F91A51">
        <w:rPr>
          <w:bCs/>
        </w:rPr>
        <w:t>Tryb i termin wniesienia skargi do wojewódzkiego sądu administracyjnego na decyzję (postanowienie).</w:t>
      </w:r>
    </w:p>
    <w:p w14:paraId="6D62682C" w14:textId="77777777" w:rsidR="00896849" w:rsidRPr="00F91A51" w:rsidRDefault="00896849" w:rsidP="00896849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Czy pośredni tryb wniesienia skargi do sądu administracyjnego od ostatecznej decyzji organu administracji publicznej obowiązuje również w przypadku wniesienia skargi w formie dokumentu elektronicznego?</w:t>
      </w:r>
    </w:p>
    <w:p w14:paraId="734347FB" w14:textId="77777777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W jaki sposób dopuszczalne jest uwierzytelnianie przez strony pism procesowych składanych w formie dokumentu elektronicznego w postępowaniu przed sądem administracyjnym?</w:t>
      </w:r>
    </w:p>
    <w:p w14:paraId="772D6CE1" w14:textId="77777777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Jakie są konsekwencje przesłania pisma procesowego w formie elektronicznej z pominięciem platform ePUAP?</w:t>
      </w:r>
    </w:p>
    <w:p w14:paraId="24B6E7F4" w14:textId="36D0975B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Jakie warunki musi spełnić strona aby zainicjować komunikację elektroniczną z sądem administracyjnym?</w:t>
      </w:r>
    </w:p>
    <w:p w14:paraId="7B4B3DAB" w14:textId="4F950D35" w:rsidR="001953C6" w:rsidRPr="00F91A51" w:rsidRDefault="001953C6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Zasady postępowania przed sądami administracyjnymi</w:t>
      </w:r>
    </w:p>
    <w:p w14:paraId="24288DFC" w14:textId="0BF9FAAA" w:rsidR="001953C6" w:rsidRPr="00F91A51" w:rsidRDefault="001953C6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Katalog uczestników postępowania przed sądami administracyjnymi</w:t>
      </w:r>
    </w:p>
    <w:p w14:paraId="17ED4AFE" w14:textId="349E6C03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W jaki sposób i na jakich warunkach zapewniony jest stronie dostęp do pism procesowych w przypadku uznania pisma w formie dokumentu elektronicznego za doręczone w ramach tzw. fikcji doręczenia.</w:t>
      </w:r>
    </w:p>
    <w:p w14:paraId="3CA27EC7" w14:textId="168D63B2" w:rsidR="002001D4" w:rsidRPr="00F91A51" w:rsidRDefault="002001D4" w:rsidP="002001D4">
      <w:pPr>
        <w:numPr>
          <w:ilvl w:val="0"/>
          <w:numId w:val="3"/>
        </w:numPr>
        <w:spacing w:line="360" w:lineRule="auto"/>
        <w:jc w:val="both"/>
      </w:pPr>
      <w:r w:rsidRPr="00F91A51">
        <w:lastRenderedPageBreak/>
        <w:t>Rodzaje podpisów elektronicznych wykorzystywanych w postępowaniu sądowoadministracyjnym</w:t>
      </w:r>
    </w:p>
    <w:p w14:paraId="0562B377" w14:textId="77777777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 xml:space="preserve">Jak przepisy ustawy o postepowaniu przed sądami administracyjnymi definiują datę wniesienia pisma w formie dokumentu elektronicznego. </w:t>
      </w:r>
    </w:p>
    <w:p w14:paraId="368B90C2" w14:textId="77777777" w:rsidR="00896849" w:rsidRPr="00F91A51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W jaki sposób i na jakich warunkach sąd udostępnia stronom akta prowadzone w postaci elektronicznej.</w:t>
      </w:r>
    </w:p>
    <w:p w14:paraId="7B65CD74" w14:textId="4936611B" w:rsidR="00AE6C07" w:rsidRPr="00F91A51" w:rsidRDefault="00896849" w:rsidP="00AE6C0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Czy możliwość skorzystania z elektronicznej formy komunikacji w ramach postępowania przed sądem administracyjnym wymaga zgody sądu?</w:t>
      </w:r>
    </w:p>
    <w:p w14:paraId="4638208D" w14:textId="24E3649E" w:rsidR="002001D4" w:rsidRPr="00F91A51" w:rsidRDefault="002001D4" w:rsidP="00AE6C0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Wyroki sądów administracyjnych ze skarg na decyzje administracyjne</w:t>
      </w:r>
    </w:p>
    <w:p w14:paraId="51870119" w14:textId="74E1316C" w:rsidR="001953C6" w:rsidRPr="00F91A51" w:rsidRDefault="001953C6" w:rsidP="001953C6">
      <w:pPr>
        <w:numPr>
          <w:ilvl w:val="0"/>
          <w:numId w:val="3"/>
        </w:numPr>
        <w:spacing w:line="360" w:lineRule="auto"/>
        <w:jc w:val="both"/>
      </w:pPr>
      <w:r w:rsidRPr="00F91A51">
        <w:t>Zakaz zmiany na niekorzyść w postępowaniu sądowoadministracyjnym</w:t>
      </w:r>
    </w:p>
    <w:p w14:paraId="4297B852" w14:textId="4F826F4A" w:rsidR="001953C6" w:rsidRPr="00F91A51" w:rsidRDefault="001953C6" w:rsidP="00AE6C0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Skarga kasacyjna i zażalenie na postanowienie w postępowaniu sądowoadministracyjnym</w:t>
      </w:r>
    </w:p>
    <w:p w14:paraId="59F45B06" w14:textId="4F77825A" w:rsidR="001953C6" w:rsidRPr="00F91A51" w:rsidRDefault="001953C6" w:rsidP="00AE6C0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Wznowienie postępowania sądowoadministracyjnego</w:t>
      </w:r>
    </w:p>
    <w:p w14:paraId="1C1D74AE" w14:textId="6228764A" w:rsidR="002001D4" w:rsidRPr="00F91A51" w:rsidRDefault="002001D4" w:rsidP="002001D4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Postępowanie w sprawie odtworzenia akt przed sądami administracyjnym</w:t>
      </w:r>
    </w:p>
    <w:p w14:paraId="0B87D4FA" w14:textId="77777777" w:rsidR="0084306A" w:rsidRPr="00F91A51" w:rsidRDefault="00120A88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 xml:space="preserve">Omów pojęcie danych osobowych. </w:t>
      </w:r>
    </w:p>
    <w:p w14:paraId="75023BC8" w14:textId="77777777" w:rsidR="0084306A" w:rsidRPr="00F91A51" w:rsidRDefault="00120A88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 xml:space="preserve">Przedstaw konstytucyjne podstawy ochrony danych osobowych.  </w:t>
      </w:r>
    </w:p>
    <w:p w14:paraId="71BC5400" w14:textId="77777777" w:rsidR="0084306A" w:rsidRPr="00F91A51" w:rsidRDefault="00120A88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Scharakteryzuj pojęcie „odbiorcy”.</w:t>
      </w:r>
    </w:p>
    <w:p w14:paraId="60EF7703" w14:textId="77777777" w:rsidR="0084306A" w:rsidRPr="00F91A51" w:rsidRDefault="00120A88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Przedstaw pojęcie "naruszenie ochrony danych osobowych".</w:t>
      </w:r>
    </w:p>
    <w:p w14:paraId="5DB5A766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F91A51">
        <w:t>Omów z</w:t>
      </w:r>
      <w:r w:rsidRPr="00F91A51">
        <w:rPr>
          <w:bCs/>
        </w:rPr>
        <w:t>asady dotyczące przetwarzania danych osobowych według RODO:</w:t>
      </w:r>
    </w:p>
    <w:p w14:paraId="1CE3D0D2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 xml:space="preserve">zasadę </w:t>
      </w:r>
      <w:r w:rsidRPr="00F91A51">
        <w:rPr>
          <w:bCs/>
        </w:rPr>
        <w:t>przetwarzan</w:t>
      </w:r>
      <w:r w:rsidR="0084306A" w:rsidRPr="00F91A51">
        <w:rPr>
          <w:bCs/>
        </w:rPr>
        <w:t>ia</w:t>
      </w:r>
      <w:r w:rsidRPr="00F91A51">
        <w:rPr>
          <w:bCs/>
        </w:rPr>
        <w:t xml:space="preserve"> zgodnie z prawem i rzetelnie;</w:t>
      </w:r>
    </w:p>
    <w:p w14:paraId="6ACEB6D1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>zasadę „</w:t>
      </w:r>
      <w:r w:rsidRPr="00F91A51">
        <w:rPr>
          <w:bCs/>
        </w:rPr>
        <w:t>ograniczenie celu";</w:t>
      </w:r>
    </w:p>
    <w:p w14:paraId="1748686A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 xml:space="preserve">zasadę </w:t>
      </w:r>
      <w:r w:rsidRPr="00F91A51">
        <w:rPr>
          <w:bCs/>
        </w:rPr>
        <w:t>"minimalizacja danych";</w:t>
      </w:r>
    </w:p>
    <w:p w14:paraId="4FDA60FB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 xml:space="preserve">zasadę </w:t>
      </w:r>
      <w:r w:rsidRPr="00F91A51">
        <w:rPr>
          <w:bCs/>
        </w:rPr>
        <w:t>"prawidłowość";</w:t>
      </w:r>
    </w:p>
    <w:p w14:paraId="07C7590D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 xml:space="preserve">zasadę </w:t>
      </w:r>
      <w:r w:rsidRPr="00F91A51">
        <w:rPr>
          <w:bCs/>
        </w:rPr>
        <w:t>"ograniczenie przechowywania";</w:t>
      </w:r>
    </w:p>
    <w:p w14:paraId="05AFEF5D" w14:textId="77777777" w:rsidR="00120A88" w:rsidRPr="00F91A51" w:rsidRDefault="00120A88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t xml:space="preserve">zasadę </w:t>
      </w:r>
      <w:r w:rsidRPr="00F91A51">
        <w:rPr>
          <w:bCs/>
        </w:rPr>
        <w:t>"integralność i poufność"</w:t>
      </w:r>
      <w:r w:rsidR="0084306A" w:rsidRPr="00F91A51">
        <w:rPr>
          <w:bCs/>
        </w:rPr>
        <w:t>;</w:t>
      </w:r>
    </w:p>
    <w:p w14:paraId="497E79A2" w14:textId="77777777" w:rsidR="00120A88" w:rsidRPr="00F91A51" w:rsidRDefault="0084306A" w:rsidP="00F95DD3">
      <w:pPr>
        <w:pStyle w:val="Akapitzlist"/>
        <w:numPr>
          <w:ilvl w:val="1"/>
          <w:numId w:val="5"/>
        </w:numPr>
        <w:spacing w:line="360" w:lineRule="auto"/>
        <w:ind w:left="993"/>
        <w:jc w:val="both"/>
        <w:rPr>
          <w:bCs/>
        </w:rPr>
      </w:pPr>
      <w:r w:rsidRPr="00F91A51">
        <w:rPr>
          <w:bCs/>
        </w:rPr>
        <w:t>z</w:t>
      </w:r>
      <w:r w:rsidR="00120A88" w:rsidRPr="00F91A51">
        <w:rPr>
          <w:bCs/>
        </w:rPr>
        <w:t>asadę „rozliczalności”</w:t>
      </w:r>
      <w:r w:rsidRPr="00F91A51">
        <w:rPr>
          <w:bCs/>
        </w:rPr>
        <w:t>.</w:t>
      </w:r>
    </w:p>
    <w:p w14:paraId="140D1432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Omów podstawy prawne przetwarzania danych osobowych wnikające z RODO. </w:t>
      </w:r>
    </w:p>
    <w:p w14:paraId="54CC7B8F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Omów problematykę obowiązku informacyjnego spoczywającego na administratorze danych osobowych. </w:t>
      </w:r>
    </w:p>
    <w:p w14:paraId="43ACFC09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Przedstaw procedurę zgłaszania naruszenia danych osobowych organowi nadzorczemu.  </w:t>
      </w:r>
    </w:p>
    <w:p w14:paraId="5E4DAC00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Scharakteryzuj „zgodę” jako podstawę prawną przetwarzania danych osobowych. </w:t>
      </w:r>
    </w:p>
    <w:p w14:paraId="64CC67D2" w14:textId="77777777" w:rsidR="00120A88" w:rsidRPr="00F91A51" w:rsidRDefault="00120A88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Omów instytucję Inspektora Ochrony Danych Osobowych.</w:t>
      </w:r>
    </w:p>
    <w:p w14:paraId="10B7CBBE" w14:textId="77777777" w:rsidR="00120A88" w:rsidRPr="00F91A51" w:rsidRDefault="005A1A4C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lastRenderedPageBreak/>
        <w:t xml:space="preserve">Zdefiniuj pojęcie informacji niejawnych oraz wskaż znane Ci Klauzule Tajności. </w:t>
      </w:r>
    </w:p>
    <w:p w14:paraId="760FF370" w14:textId="77777777" w:rsidR="005A1A4C" w:rsidRPr="00F91A51" w:rsidRDefault="005A1A4C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>Przedstaw procedurę nadawania k</w:t>
      </w:r>
      <w:r w:rsidR="00F95DD3" w:rsidRPr="00F91A51">
        <w:t>lauzul</w:t>
      </w:r>
      <w:r w:rsidRPr="00F91A51">
        <w:t>i</w:t>
      </w:r>
      <w:r w:rsidR="00F95DD3" w:rsidRPr="00F91A51">
        <w:t xml:space="preserve"> tajności</w:t>
      </w:r>
      <w:r w:rsidRPr="00F91A51">
        <w:t xml:space="preserve"> wraz z problematyką okresu na jaki jest nadawana. </w:t>
      </w:r>
    </w:p>
    <w:p w14:paraId="5CFB1176" w14:textId="77777777" w:rsidR="005A1A4C" w:rsidRPr="00F91A51" w:rsidRDefault="005A1A4C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Omów zagadnienie dezinformacji oraz zasady przeciwdziałania temu zjawisku. </w:t>
      </w:r>
    </w:p>
    <w:p w14:paraId="26D9CCC9" w14:textId="77777777" w:rsidR="005A1A4C" w:rsidRPr="00F91A51" w:rsidRDefault="005A1A4C" w:rsidP="00F95DD3">
      <w:pPr>
        <w:pStyle w:val="Akapitzlist"/>
        <w:numPr>
          <w:ilvl w:val="0"/>
          <w:numId w:val="3"/>
        </w:numPr>
        <w:spacing w:line="360" w:lineRule="auto"/>
        <w:jc w:val="both"/>
      </w:pPr>
      <w:r w:rsidRPr="00F91A51">
        <w:t xml:space="preserve">Przedstaw rolę mediów w zarządzaniu kryzysowym. </w:t>
      </w:r>
    </w:p>
    <w:p w14:paraId="6E7580DA" w14:textId="77777777" w:rsidR="009A1435" w:rsidRPr="00F91A51" w:rsidRDefault="009A1435" w:rsidP="002C5AAE">
      <w:pPr>
        <w:spacing w:line="360" w:lineRule="auto"/>
        <w:ind w:left="567"/>
        <w:jc w:val="both"/>
      </w:pPr>
    </w:p>
    <w:sectPr w:rsidR="009A1435" w:rsidRPr="00F9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2A0"/>
    <w:multiLevelType w:val="hybridMultilevel"/>
    <w:tmpl w:val="3356C47E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24F"/>
    <w:multiLevelType w:val="hybridMultilevel"/>
    <w:tmpl w:val="FDAA2E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C0BFE"/>
    <w:multiLevelType w:val="hybridMultilevel"/>
    <w:tmpl w:val="748808B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37818"/>
    <w:multiLevelType w:val="hybridMultilevel"/>
    <w:tmpl w:val="92D097D0"/>
    <w:lvl w:ilvl="0" w:tplc="D1B81CC8">
      <w:start w:val="56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56CF0"/>
    <w:multiLevelType w:val="hybridMultilevel"/>
    <w:tmpl w:val="946A0CD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C5D05"/>
    <w:multiLevelType w:val="hybridMultilevel"/>
    <w:tmpl w:val="9BD0229A"/>
    <w:lvl w:ilvl="0" w:tplc="C1D2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6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2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A46F02"/>
    <w:multiLevelType w:val="hybridMultilevel"/>
    <w:tmpl w:val="28468868"/>
    <w:lvl w:ilvl="0" w:tplc="3466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45204">
    <w:abstractNumId w:val="4"/>
  </w:num>
  <w:num w:numId="2" w16cid:durableId="256790406">
    <w:abstractNumId w:val="6"/>
  </w:num>
  <w:num w:numId="3" w16cid:durableId="1866405523">
    <w:abstractNumId w:val="2"/>
  </w:num>
  <w:num w:numId="4" w16cid:durableId="755439261">
    <w:abstractNumId w:val="1"/>
  </w:num>
  <w:num w:numId="5" w16cid:durableId="420565275">
    <w:abstractNumId w:val="0"/>
  </w:num>
  <w:num w:numId="6" w16cid:durableId="1278607781">
    <w:abstractNumId w:val="5"/>
  </w:num>
  <w:num w:numId="7" w16cid:durableId="755976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4"/>
    <w:rsid w:val="00120A88"/>
    <w:rsid w:val="0015457E"/>
    <w:rsid w:val="001953C6"/>
    <w:rsid w:val="001D6F44"/>
    <w:rsid w:val="002001D4"/>
    <w:rsid w:val="002C5AAE"/>
    <w:rsid w:val="003516C4"/>
    <w:rsid w:val="00530332"/>
    <w:rsid w:val="00577206"/>
    <w:rsid w:val="005A1A4C"/>
    <w:rsid w:val="005F5382"/>
    <w:rsid w:val="006B2AE9"/>
    <w:rsid w:val="0084306A"/>
    <w:rsid w:val="00886042"/>
    <w:rsid w:val="00896849"/>
    <w:rsid w:val="00993DE4"/>
    <w:rsid w:val="009A1435"/>
    <w:rsid w:val="00AE6C07"/>
    <w:rsid w:val="00BF5909"/>
    <w:rsid w:val="00CC54E8"/>
    <w:rsid w:val="00DA21D3"/>
    <w:rsid w:val="00EC13A0"/>
    <w:rsid w:val="00F91A51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AE96"/>
  <w15:chartTrackingRefBased/>
  <w15:docId w15:val="{B7623291-9BEC-48B4-BA04-CF9977E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Agnieszka Przybylska</cp:lastModifiedBy>
  <cp:revision>2</cp:revision>
  <dcterms:created xsi:type="dcterms:W3CDTF">2023-05-23T09:01:00Z</dcterms:created>
  <dcterms:modified xsi:type="dcterms:W3CDTF">2023-05-23T09:01:00Z</dcterms:modified>
</cp:coreProperties>
</file>