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E015" w14:textId="77777777" w:rsidR="0079452E" w:rsidRPr="00B670F6" w:rsidRDefault="0079452E" w:rsidP="0079452E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28"/>
          <w:szCs w:val="28"/>
        </w:rPr>
      </w:pPr>
      <w:r w:rsidRPr="00B670F6">
        <w:rPr>
          <w:rFonts w:ascii="Times New Roman" w:hAnsi="Times New Roman" w:cs="Times New Roman"/>
          <w:b/>
          <w:bCs/>
          <w:color w:val="7030A0"/>
          <w:sz w:val="28"/>
          <w:szCs w:val="28"/>
        </w:rPr>
        <w:t>KATEDRA PRAWA KONSTYTUCYJNEGO I NAUKI O PAŃSTWIE</w:t>
      </w:r>
    </w:p>
    <w:p w14:paraId="77CE792A" w14:textId="77777777" w:rsidR="0079452E" w:rsidRPr="001C51E1" w:rsidRDefault="0079452E" w:rsidP="0079452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 hab. </w:t>
      </w:r>
      <w:proofErr w:type="spellStart"/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D.Lis-Staranowicz</w:t>
      </w:r>
      <w:proofErr w:type="spellEnd"/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Dr hab. J. Juchniewicz, Dr hab. M. Dąbrowski,</w:t>
      </w:r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Dr hab. S. </w:t>
      </w:r>
      <w:proofErr w:type="spellStart"/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Bułajewski</w:t>
      </w:r>
      <w:proofErr w:type="spellEnd"/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Dr D. Ossowska-</w:t>
      </w:r>
      <w:proofErr w:type="spellStart"/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Salamonowicz</w:t>
      </w:r>
      <w:proofErr w:type="spellEnd"/>
      <w:r w:rsidRPr="001C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Dr M. Giżyńska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70B440E" w14:textId="77777777" w:rsidR="0079452E" w:rsidRPr="001C51E1" w:rsidRDefault="0079452E" w:rsidP="0079452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63EBA6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Bezpośrednie stosowanie Konstytucji w sprawach karnych przez SN</w:t>
      </w:r>
    </w:p>
    <w:p w14:paraId="7F820224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Bezpośrednie stosowanie Konstytucji w sprawach cywilnych przez SN</w:t>
      </w:r>
    </w:p>
    <w:p w14:paraId="39992187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Bezpośrednie stosowanie Konstytucji w sprawach pracy przez SN</w:t>
      </w:r>
    </w:p>
    <w:p w14:paraId="42A81B06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Bezpośrednie stosowania Konstytucji w sprawach administracyjnych przez NSA</w:t>
      </w:r>
    </w:p>
    <w:p w14:paraId="46218CFF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Miejsce prawa UE w konstytucyjny porządku prawnym w Polsce</w:t>
      </w:r>
    </w:p>
    <w:p w14:paraId="102AE7FC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Sądownictwo konstytucyjne w Polsce : w teorii iw  praktyce </w:t>
      </w:r>
    </w:p>
    <w:p w14:paraId="59125DC0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Demokracja bezpośrednia w Polsce: w teorii i w praktyce</w:t>
      </w:r>
    </w:p>
    <w:p w14:paraId="30A3793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Skarga nadzwyczajna jako środek ochrony Konstytucji </w:t>
      </w:r>
    </w:p>
    <w:p w14:paraId="0A6E5DD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Skarga konstytucyjna jako środek ochrony konstytucyjnych praw i wolności </w:t>
      </w:r>
    </w:p>
    <w:p w14:paraId="4711FA2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Środki ochrony konstytucyjnego prawa do równego traktowania </w:t>
      </w:r>
    </w:p>
    <w:p w14:paraId="17B6CB91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Prawo pracownika do równego traktowania </w:t>
      </w:r>
    </w:p>
    <w:p w14:paraId="5AAC36E4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Prawo do sądu w orzecznictwie TK </w:t>
      </w:r>
    </w:p>
    <w:p w14:paraId="1BC2B208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Prawa socjalne w orzecznictwie TK: wybrane problemy</w:t>
      </w:r>
    </w:p>
    <w:p w14:paraId="1734914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Prawa polityczne w orzecznictwie TK: wybrane problemy</w:t>
      </w:r>
    </w:p>
    <w:p w14:paraId="56B64FB8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Wpływ Covid 19 na zakres konstytucyjnych praw i wolności </w:t>
      </w:r>
    </w:p>
    <w:p w14:paraId="2B1D3A8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Konstytucyjny obowiązek ponoszenia podatków i danin publicznych</w:t>
      </w:r>
    </w:p>
    <w:p w14:paraId="1B5A5FF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Sejm a Senat: w teorii i w praktyce </w:t>
      </w:r>
    </w:p>
    <w:p w14:paraId="751FB521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Obywatelska inicjatywa ustawodawcza w Polsce: w teorii i w praktyce </w:t>
      </w:r>
    </w:p>
    <w:p w14:paraId="5C74BA9B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Prawa osobiste w orzecznictwie TK: wybrane problemy</w:t>
      </w:r>
    </w:p>
    <w:p w14:paraId="0527C3D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Pozycja ustrojowa Prezesa Rady Ministrów RP</w:t>
      </w:r>
    </w:p>
    <w:p w14:paraId="61901E4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Rodzaje i skutki orzeczeń Trybunału Konstytucyjnego</w:t>
      </w:r>
    </w:p>
    <w:p w14:paraId="70E5DB6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Rozstrzyganie sporów kompetencyjnych przez TK</w:t>
      </w:r>
    </w:p>
    <w:p w14:paraId="3D1F3AA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Utrata obywatelstwa polskiego w świetle przepisów obowiązujących w Polsce w XX i XXI wieku</w:t>
      </w:r>
    </w:p>
    <w:p w14:paraId="721963D7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Ograniczenia konstytucyjnych praw i wolności</w:t>
      </w:r>
    </w:p>
    <w:p w14:paraId="53182D2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Skarga Konstytucyjna jako środek ochrony konstytucyjnych praw i wolności</w:t>
      </w:r>
    </w:p>
    <w:p w14:paraId="61885F4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Prezydent RP jako strażnik Konstytucji</w:t>
      </w:r>
    </w:p>
    <w:p w14:paraId="47BBC5D0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Zdecentralizowany i scentralizowany system kontroli konstytucyjności prawa na tle porównawczym Stanów Zjednoczonych i Polski</w:t>
      </w:r>
    </w:p>
    <w:p w14:paraId="09A09E0C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Transformacja ustrojowa instytucji Prezydenta RP po roku 1989</w:t>
      </w:r>
    </w:p>
    <w:p w14:paraId="71DBF1E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Transformacja ustrojowa w Polsce w latach 1989-1997</w:t>
      </w:r>
    </w:p>
    <w:p w14:paraId="1DDBDF98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Prezydent RP w świetle przepisów Konstytucji z 1921 oraz 1997 r. Analiza porównawcza.</w:t>
      </w:r>
    </w:p>
    <w:p w14:paraId="171D985F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lastRenderedPageBreak/>
        <w:t>Umowy międzynarodowe w systemie źródeł prawa w Polsce</w:t>
      </w:r>
    </w:p>
    <w:p w14:paraId="656B394B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Zasada równości w prawie wyborczym</w:t>
      </w:r>
    </w:p>
    <w:p w14:paraId="5D81E8B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Gwarancje ochrony wolności i praw obywatelskich</w:t>
      </w:r>
    </w:p>
    <w:p w14:paraId="5BC9484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Obowiązki obywatelskie w świetle Konstytucji RP</w:t>
      </w:r>
    </w:p>
    <w:p w14:paraId="53E60A61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Zasada podziału władzy w praktyce konstytucyjnej RP</w:t>
      </w:r>
    </w:p>
    <w:p w14:paraId="3B29157D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Konstytucyjne granice wolności wyrażania poglądów </w:t>
      </w:r>
    </w:p>
    <w:p w14:paraId="322A259E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Kompetencje Prezydenta Rzeczypospolitej Polskiej w świetle Konstytucji z 2 kwietnia 1997 r.</w:t>
      </w:r>
    </w:p>
    <w:p w14:paraId="15F1E3A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Konstytucyjne zasady dotyczące stanów nadzwyczajnych</w:t>
      </w:r>
    </w:p>
    <w:p w14:paraId="7BB6916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Prawa dziecka w świetle Konstytucji Rzeczypospolitej Polskiej</w:t>
      </w:r>
    </w:p>
    <w:p w14:paraId="25F4BDD7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Ochrona prywatności o dobro publiczne.</w:t>
      </w:r>
    </w:p>
    <w:p w14:paraId="3923952E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Skarga konstytucyjna w prawie polskim</w:t>
      </w:r>
    </w:p>
    <w:p w14:paraId="251EE8C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Konstytucyjne prawo do ochrony zdrowia</w:t>
      </w:r>
    </w:p>
    <w:p w14:paraId="2DD485FD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Trybunał Stanu w polskim ustroju konstytucyjnym</w:t>
      </w:r>
    </w:p>
    <w:p w14:paraId="4D250C2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Stany nadzwyczajne w świetle polskiego prawa konstytucyjnego</w:t>
      </w:r>
    </w:p>
    <w:p w14:paraId="214F4A4C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Geneza instytucji Rzecznika Praw Obywatelskich na świecie i w Polsce</w:t>
      </w:r>
    </w:p>
    <w:p w14:paraId="79E2063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Rzecznik Praw Obywatelskich jako organ stojący na straży praw i wolności</w:t>
      </w:r>
    </w:p>
    <w:p w14:paraId="6F149C08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Stany nadzwyczajne w Polsce</w:t>
      </w:r>
    </w:p>
    <w:p w14:paraId="04B2C018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Referendum jako instytucja demokracji bezpośredniej w Polsce</w:t>
      </w:r>
    </w:p>
    <w:p w14:paraId="587FFC7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Trybunał Stanu jako organ egzekwowania odpowiedzialności  konstytucyjnej</w:t>
      </w:r>
    </w:p>
    <w:p w14:paraId="410506FF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Gmina jako podstawowa jednostka samorządu terytorialnego</w:t>
      </w:r>
    </w:p>
    <w:p w14:paraId="78EA2D17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Kompetencje Prezydenta Rzeczypospolitej Polskiej w świetle Konstytucji z 2 kwietnia 1997 r.</w:t>
      </w:r>
    </w:p>
    <w:p w14:paraId="4AD0BDFF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Zasady prawa wyborczego do Sejmu RP</w:t>
      </w:r>
    </w:p>
    <w:p w14:paraId="4515B62E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Prawa dziecka w świetle Konstytucji Rzeczypospolitej Polskiej</w:t>
      </w:r>
    </w:p>
    <w:p w14:paraId="6CFAD4AE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Wolności i prawa polityczne w obowiązującej Konstytucji Rzeczypospolitej Polskiej</w:t>
      </w:r>
    </w:p>
    <w:p w14:paraId="6DBE0C7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Istota wolności słowa w świetle Konstytucji Rzeczypospolitej Polskiej z dnia 2 kwietnia 1997 r.</w:t>
      </w:r>
    </w:p>
    <w:p w14:paraId="2EF1622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Najwyższa Izba Kontroli jako naczelny organ kontroli państwowej</w:t>
      </w:r>
    </w:p>
    <w:p w14:paraId="7D4EAD01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Zasada powszechności w prawie wyborczym</w:t>
      </w:r>
    </w:p>
    <w:p w14:paraId="4E500CD4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Prawo do życia w świetle Konstytucji Rzeczypospolitej Polskiej z 2 kwietnia 1997 r.</w:t>
      </w:r>
    </w:p>
    <w:p w14:paraId="7008F874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Ograniczenie praw i wolności jednostki w czasie stanów nadzwyczajnych</w:t>
      </w:r>
    </w:p>
    <w:p w14:paraId="2330795F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Skutki prawne uchwalenia miejscowego planu zagospodarowania przestrzennego</w:t>
      </w:r>
    </w:p>
    <w:p w14:paraId="15ACF57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Administracyjnoprawne aspekty decyzji o warunkach zabudowy</w:t>
      </w:r>
    </w:p>
    <w:p w14:paraId="2751F32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Administracyjnoprawne aspekty pozwolenia na budowę</w:t>
      </w:r>
    </w:p>
    <w:p w14:paraId="0DE92078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Administracyjnoprawne aspekty polityki przestrzennej na poziomie gminy</w:t>
      </w:r>
    </w:p>
    <w:p w14:paraId="438F4926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Administracyjnoprawne aspekty decyzji o lokalizacji inwestycji celu publicznego</w:t>
      </w:r>
    </w:p>
    <w:p w14:paraId="6AF6216D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Skutki prawne decyzji o podziale nieruchomości</w:t>
      </w:r>
    </w:p>
    <w:p w14:paraId="7F6D3EA4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Aspekty prawne akredytacji placówek  doskonalenia nauczycieli</w:t>
      </w:r>
    </w:p>
    <w:p w14:paraId="1D091716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lastRenderedPageBreak/>
        <w:t xml:space="preserve">Obowiązek nauki a obowiązek szkolny – analiza </w:t>
      </w:r>
      <w:proofErr w:type="spellStart"/>
      <w:r w:rsidRPr="00EB52D3">
        <w:rPr>
          <w:rFonts w:ascii="Times New Roman" w:hAnsi="Times New Roman" w:cs="Times New Roman"/>
        </w:rPr>
        <w:t>prawnoporównawcza</w:t>
      </w:r>
      <w:proofErr w:type="spellEnd"/>
    </w:p>
    <w:p w14:paraId="00C76410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Aspekty prawne klauzul ochrony informacji niejawnych Prawa i wolności osobiste </w:t>
      </w:r>
      <w:r>
        <w:rPr>
          <w:rFonts w:ascii="Times New Roman" w:hAnsi="Times New Roman" w:cs="Times New Roman"/>
        </w:rPr>
        <w:br/>
      </w:r>
      <w:r w:rsidRPr="00EB52D3">
        <w:rPr>
          <w:rFonts w:ascii="Times New Roman" w:hAnsi="Times New Roman" w:cs="Times New Roman"/>
        </w:rPr>
        <w:t>w Konstytucji Rzeczypospolitej Polskiej.</w:t>
      </w:r>
    </w:p>
    <w:p w14:paraId="7C566EB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Rada Ministrów RP — pozycja ustrojowa i podstawowe kompetencje.</w:t>
      </w:r>
    </w:p>
    <w:p w14:paraId="1AE21F1A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Ustrój samorządu terytorialnego w Konstytucji Rzeczypospolitej Polskiej.</w:t>
      </w:r>
    </w:p>
    <w:p w14:paraId="6FCFE58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Status prawny posła i senatora w Polsce.</w:t>
      </w:r>
    </w:p>
    <w:p w14:paraId="15A4ADDB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Partie polityczne w Polsce i w wybranych krajach Unii Europejskiej.</w:t>
      </w:r>
    </w:p>
    <w:p w14:paraId="69AE6753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Pozycja ustrojowa i podstawowe uprawnienia Prezydenta V Republiki Francuskiej.</w:t>
      </w:r>
    </w:p>
    <w:p w14:paraId="62BEC0E7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Wybór, pozycja i kompetencje skarbnika i sekretarza w gminie.</w:t>
      </w:r>
    </w:p>
    <w:p w14:paraId="4AFB516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Pozycja ustrojowa Prezesa Rady Ministrów</w:t>
      </w:r>
    </w:p>
    <w:p w14:paraId="266DF2EC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Funkcja kontrolna Sejmu</w:t>
      </w:r>
    </w:p>
    <w:p w14:paraId="630D04CD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Instytucje demokracji bezpośredniej w Rzeczypospolitej Polskiej</w:t>
      </w:r>
    </w:p>
    <w:p w14:paraId="057E07BD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Zasada powszechności prawa wyborczego Polsce</w:t>
      </w:r>
    </w:p>
    <w:p w14:paraId="4EFB9A47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Odpowiedzialność Rady Ministrów i jej członków</w:t>
      </w:r>
    </w:p>
    <w:p w14:paraId="255A6D9C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Status sędziego Trybunału Konstytucyjnego</w:t>
      </w:r>
    </w:p>
    <w:p w14:paraId="192BCF0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Odpowiedzialność konstytucyjna w Polsce</w:t>
      </w:r>
    </w:p>
    <w:p w14:paraId="40B1A206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Zasada równości w orzecznictwie Trybunału Konstytucyjnego</w:t>
      </w:r>
    </w:p>
    <w:p w14:paraId="79A18449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Niezawisłość sędziowska i jej gwarancje</w:t>
      </w:r>
    </w:p>
    <w:p w14:paraId="445CE8FE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Komisje jako organy wewnętrzne Sejmu</w:t>
      </w:r>
    </w:p>
    <w:p w14:paraId="3B633782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 xml:space="preserve">Ograniczenia w korzystaniu z konstytucyjnych praw i wolności w świetle Konstytucji z 2 kwietnia 1997 r. </w:t>
      </w:r>
    </w:p>
    <w:p w14:paraId="68554AE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Prawo petycji w Konstytucji Rzeczypospolitej Polskiej</w:t>
      </w:r>
    </w:p>
    <w:p w14:paraId="2B2716C6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Najwyższa Izba Kontroli jako naczelny organ kontroli państwowej</w:t>
      </w:r>
    </w:p>
    <w:p w14:paraId="15A16CC5" w14:textId="77777777" w:rsidR="0079452E" w:rsidRPr="00EB52D3" w:rsidRDefault="0079452E" w:rsidP="0079452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B52D3">
        <w:rPr>
          <w:rFonts w:ascii="Times New Roman" w:hAnsi="Times New Roman" w:cs="Times New Roman"/>
        </w:rPr>
        <w:t>Tryb zmiany Konstytucji z dnia 2 kwietnia 1997 r.</w:t>
      </w:r>
    </w:p>
    <w:p w14:paraId="1FCF8A6F" w14:textId="77777777" w:rsidR="000368F1" w:rsidRPr="0079452E" w:rsidRDefault="000368F1" w:rsidP="0079452E"/>
    <w:sectPr w:rsidR="000368F1" w:rsidRPr="0079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C6283"/>
    <w:multiLevelType w:val="hybridMultilevel"/>
    <w:tmpl w:val="EC785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47522"/>
    <w:multiLevelType w:val="hybridMultilevel"/>
    <w:tmpl w:val="CD967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C7C48"/>
    <w:multiLevelType w:val="hybridMultilevel"/>
    <w:tmpl w:val="340E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A2C6A"/>
    <w:multiLevelType w:val="hybridMultilevel"/>
    <w:tmpl w:val="400A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61"/>
    <w:rsid w:val="000368F1"/>
    <w:rsid w:val="00242278"/>
    <w:rsid w:val="00292F9E"/>
    <w:rsid w:val="00341DEB"/>
    <w:rsid w:val="00486035"/>
    <w:rsid w:val="004E6DB3"/>
    <w:rsid w:val="006D4489"/>
    <w:rsid w:val="006E23C0"/>
    <w:rsid w:val="006F14C7"/>
    <w:rsid w:val="0079452E"/>
    <w:rsid w:val="00994BE6"/>
    <w:rsid w:val="00C01168"/>
    <w:rsid w:val="00D175C2"/>
    <w:rsid w:val="00DB56B2"/>
    <w:rsid w:val="00EC63FB"/>
    <w:rsid w:val="00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B920"/>
  <w15:chartTrackingRefBased/>
  <w15:docId w15:val="{C98CCF76-444E-48B8-B55B-CB1AF9A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52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F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10</cp:revision>
  <dcterms:created xsi:type="dcterms:W3CDTF">2021-09-14T09:08:00Z</dcterms:created>
  <dcterms:modified xsi:type="dcterms:W3CDTF">2021-10-26T11:49:00Z</dcterms:modified>
</cp:coreProperties>
</file>