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36BF" w14:textId="77777777" w:rsidR="00834EA5" w:rsidRPr="001C51E1" w:rsidRDefault="00834EA5" w:rsidP="00834EA5">
      <w:pPr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7030A0"/>
          <w:sz w:val="28"/>
          <w:szCs w:val="28"/>
        </w:rPr>
      </w:pPr>
      <w:r w:rsidRPr="001C51E1">
        <w:rPr>
          <w:rFonts w:ascii="Times New Roman" w:hAnsi="Times New Roman" w:cs="Times New Roman"/>
          <w:b/>
          <w:bCs/>
          <w:color w:val="7030A0"/>
          <w:sz w:val="28"/>
          <w:szCs w:val="28"/>
        </w:rPr>
        <w:t>KATEDRA PRAWA GOSPODARCZEGO I PRAWA HANDLOWEGO</w:t>
      </w:r>
      <w:bookmarkStart w:id="0" w:name="_Hlk82502287"/>
    </w:p>
    <w:bookmarkEnd w:id="0"/>
    <w:p w14:paraId="32C42F47" w14:textId="77777777" w:rsidR="00834EA5" w:rsidRPr="001C51E1" w:rsidRDefault="00834EA5" w:rsidP="00834EA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(</w:t>
      </w:r>
      <w:r w:rsidRPr="001C51E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Dr hab. Jakub </w:t>
      </w:r>
      <w:proofErr w:type="spellStart"/>
      <w:r w:rsidRPr="001C51E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Zięty</w:t>
      </w:r>
      <w:proofErr w:type="spellEnd"/>
      <w:r w:rsidRPr="001C51E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, prof. UWM</w:t>
      </w:r>
      <w:r w:rsidRPr="001C51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Dr M. Krzykowski, Dr P. Lewandowski, Dr M. </w:t>
      </w:r>
      <w:proofErr w:type="spellStart"/>
      <w:r w:rsidRPr="001C51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Lubiszewski</w:t>
      </w:r>
      <w:proofErr w:type="spellEnd"/>
      <w:r w:rsidRPr="001C51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Dr S. </w:t>
      </w:r>
      <w:proofErr w:type="spellStart"/>
      <w:r w:rsidRPr="001C51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Łazarewicz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2B56943B" w14:textId="77777777" w:rsidR="00834EA5" w:rsidRPr="001C51E1" w:rsidRDefault="00834EA5" w:rsidP="00834EA5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33816251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Grupa spółek w prawie polskim.</w:t>
      </w:r>
    </w:p>
    <w:p w14:paraId="05A590D3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Wykorzystanie środków komunikacji na odległość do podejmowana uchwał w spółce kapitałowej.</w:t>
      </w:r>
    </w:p>
    <w:p w14:paraId="3BB1A87F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Zmiana uchwały zgromadzenia wspólników po jej podjęciu.</w:t>
      </w:r>
    </w:p>
    <w:p w14:paraId="2999F2AB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Ograniczenia wstąpienia spadkobiercy do spółki z ograniczoną odpowiedzialnością.</w:t>
      </w:r>
    </w:p>
    <w:p w14:paraId="11FF5E7E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Zasady prowadzenia rejestru akcjonariuszy w kontekście dematerializacji akcji</w:t>
      </w:r>
    </w:p>
    <w:p w14:paraId="0CD8CF7C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Ograniczenia w zbywaniu akcji (udziałów) w spółce będącej właścicielem nieruchomości rolnej</w:t>
      </w:r>
    </w:p>
    <w:p w14:paraId="749C7500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Reguły odpowiedzialności członków rady administrującej w PSA</w:t>
      </w:r>
    </w:p>
    <w:p w14:paraId="3141809B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Wykorzystanie nowych technologii w prowadzeniu rejestru akcjonariuszy.</w:t>
      </w:r>
    </w:p>
    <w:p w14:paraId="38EF7AAC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 xml:space="preserve">Skutki prawne ustanowienia zastawu na udziałach. </w:t>
      </w:r>
    </w:p>
    <w:p w14:paraId="5641F372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Skutki prawne ustanowienia zakazu zbywania udziałów</w:t>
      </w:r>
    </w:p>
    <w:p w14:paraId="3B2549E3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Skutki prawne zakazu nabyci a udziałów w wyniku spadkobrania.</w:t>
      </w:r>
    </w:p>
    <w:p w14:paraId="20904B67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Postępowanie związane z umorzeniem udziałów w spółce z o.o. z  zysku spółki.</w:t>
      </w:r>
    </w:p>
    <w:p w14:paraId="5AA98243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Gospodarka o obiegu zamkniętym w funkcjonowaniu spółek kapitałowych w kontekście interesariuszy spółki</w:t>
      </w:r>
    </w:p>
    <w:p w14:paraId="33F727FF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Regulacje prawne dotyczące wprowadzenia nowego produktu spożywczego do obrotu rynkowego</w:t>
      </w:r>
    </w:p>
    <w:p w14:paraId="2BC62B71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Zasady postępowania z odpadami – zagadnienia prawne.</w:t>
      </w:r>
    </w:p>
    <w:p w14:paraId="6C7D64AA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Koncesja w zakresie prowadzenia kasyna gry</w:t>
      </w:r>
    </w:p>
    <w:p w14:paraId="218BCD10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Koncesja na obrót paliwami ciekłymi</w:t>
      </w:r>
    </w:p>
    <w:p w14:paraId="0B46A9AB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Bezpieczeństwo energetyczne Polski jako fundament stabilnego rozwoju państwa</w:t>
      </w:r>
    </w:p>
    <w:p w14:paraId="30E7CA35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Polityka energetyczna Unii Europejskiej</w:t>
      </w:r>
    </w:p>
    <w:p w14:paraId="474518DD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Nadużywanie pozycji dominującej jako przejaw naruszenia konkurencji</w:t>
      </w:r>
    </w:p>
    <w:p w14:paraId="40D7A64F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Koncesja jako szczególny przykład decyzji administracyjnej</w:t>
      </w:r>
    </w:p>
    <w:p w14:paraId="2C13FE3D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Podejmowanie i wykonywanie działalności gospodarczej na przykładzie kantoru wymianu walut</w:t>
      </w:r>
    </w:p>
    <w:p w14:paraId="160D4653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Zasada wolności gospodarczej w prawodawstwie Rzeczpospolitej Polskiej</w:t>
      </w:r>
    </w:p>
    <w:p w14:paraId="164FA1AA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Swoboda przepływu towarów warunek jako funkcjonowania Unii Europejskiej</w:t>
      </w:r>
    </w:p>
    <w:p w14:paraId="07F9C37D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Wspólna polityka transportowa w prawie Unii Europejskiej</w:t>
      </w:r>
    </w:p>
    <w:p w14:paraId="13CD45E4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Działalność koncesjonowana w zakresie ochrony osób i mienia</w:t>
      </w:r>
    </w:p>
    <w:p w14:paraId="44FEE723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lastRenderedPageBreak/>
        <w:t>Środki równoważne do ograniczeń ilościowych w orzecznictwie organów sądowych Unii Europejskiej</w:t>
      </w:r>
    </w:p>
    <w:p w14:paraId="01F6031C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Zakaz dyskryminacji w świetle swobody przypływu pracowników</w:t>
      </w:r>
    </w:p>
    <w:p w14:paraId="55E1F108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Ograniczenia w zakresie swobody świadczenia usług</w:t>
      </w:r>
    </w:p>
    <w:p w14:paraId="57E8B206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Podejmowanie i wykonywanie jednoosobowej działalności gospodarczej w świetle obowiązujących przepisów</w:t>
      </w:r>
    </w:p>
    <w:p w14:paraId="1502732A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 xml:space="preserve">Prawne aspekty </w:t>
      </w:r>
      <w:proofErr w:type="spellStart"/>
      <w:r w:rsidRPr="00EB52D3">
        <w:rPr>
          <w:rFonts w:ascii="Times New Roman" w:hAnsi="Times New Roman"/>
        </w:rPr>
        <w:t>cyberbezpieczeństwa</w:t>
      </w:r>
      <w:proofErr w:type="spellEnd"/>
      <w:r w:rsidRPr="00EB52D3">
        <w:rPr>
          <w:rFonts w:ascii="Times New Roman" w:hAnsi="Times New Roman"/>
        </w:rPr>
        <w:t xml:space="preserve"> w Polsce</w:t>
      </w:r>
    </w:p>
    <w:p w14:paraId="1A08C3B7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Zawieranie umów poza lokalem przedsiębiorstwa w kontekście praw konsumenta</w:t>
      </w:r>
    </w:p>
    <w:p w14:paraId="5D48F276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Podatek akcyzowy na gruncie prawa Unii Europejskiej i Polski</w:t>
      </w:r>
    </w:p>
    <w:p w14:paraId="528A6E6F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Prawne aspekty infrastruktury krytycznej w Polsce</w:t>
      </w:r>
    </w:p>
    <w:p w14:paraId="23BB82CD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 xml:space="preserve">Bezskuteczność czynności prawnych w prawie upadłościowym. </w:t>
      </w:r>
    </w:p>
    <w:p w14:paraId="6B95AA38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 xml:space="preserve">Upadłość osoby fizycznej nieprowadzącej działalności gospodarczej. </w:t>
      </w:r>
    </w:p>
    <w:p w14:paraId="67B00593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Spółka kapitałowa w organizacji, jako uczestnik obrotu cywilnoprawnego.</w:t>
      </w:r>
    </w:p>
    <w:p w14:paraId="66D2D382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Nadzór w spółce z ograniczoną odpowiedzialnością.</w:t>
      </w:r>
    </w:p>
    <w:p w14:paraId="41090CC6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Znaczenie klauzul abuzywnych dla ochrony konsumenta.</w:t>
      </w:r>
    </w:p>
    <w:p w14:paraId="133BED03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Nadużywanie pozycji dominującej przez spółki komunalne.</w:t>
      </w:r>
    </w:p>
    <w:p w14:paraId="7D0040D6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Charakter prawny umowy spółki prawa handlowego.</w:t>
      </w:r>
    </w:p>
    <w:p w14:paraId="0DC44D27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Przekształcenie jednoosobowej działalności gospodarczej w spółkę prawa handlowego.</w:t>
      </w:r>
    </w:p>
    <w:p w14:paraId="3ED08AF0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Odpowiedzialność likwidatorów spółki z ograniczoną odpowiedzialnością.</w:t>
      </w:r>
    </w:p>
    <w:p w14:paraId="616EF4C0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 xml:space="preserve">Pozycja prawna syndyka masy upadłościowej. </w:t>
      </w:r>
    </w:p>
    <w:p w14:paraId="78B0423D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Wpływ ogłoszenia upadłości na zobowiązania z umów wzajemnych.</w:t>
      </w:r>
    </w:p>
    <w:p w14:paraId="1CEA0BDC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 xml:space="preserve">Ubóstwo masy upadłości jako przesłanka negatywna ogłoszenia upadłości. </w:t>
      </w:r>
    </w:p>
    <w:p w14:paraId="59D5A766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Naruszenie tajemnicy przedsiębiorstwa jako czyn nieuczciwej konkurencji.</w:t>
      </w:r>
    </w:p>
    <w:p w14:paraId="7483E1E6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Formy prawne wykonywania zawodu adwokata.</w:t>
      </w:r>
    </w:p>
    <w:p w14:paraId="027E1956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Odpowiedzialność wspólników spółki komandytowej za zobowiązania spółki.</w:t>
      </w:r>
    </w:p>
    <w:p w14:paraId="3A9EB78F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Charakter prawny dopłat w spółce z ograniczoną odpowiedzialnością.</w:t>
      </w:r>
    </w:p>
    <w:p w14:paraId="75F4AF15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Swoboda umów w prawie spółek kapitałowych.</w:t>
      </w:r>
    </w:p>
    <w:p w14:paraId="46EDAA12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Konstytucyjna zasada społecznej gospodarki rynkowej</w:t>
      </w:r>
    </w:p>
    <w:p w14:paraId="26A24EAE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Wolność gospodarcza w prawie polskim</w:t>
      </w:r>
    </w:p>
    <w:p w14:paraId="3BB13065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Konstytucyjna zasada zrównoważonego rozwoju</w:t>
      </w:r>
    </w:p>
    <w:p w14:paraId="179A5B99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Pojęcie przedsiębiorcy w polskim prawie</w:t>
      </w:r>
    </w:p>
    <w:p w14:paraId="17B8CC4F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Jednoosobowa działalność gospodarcza</w:t>
      </w:r>
    </w:p>
    <w:p w14:paraId="2782B05E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Rejestry przedsiębiorców</w:t>
      </w:r>
    </w:p>
    <w:p w14:paraId="5BB4CC6E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Koncesja jako przejaw reglamentacji działalności gospodarczej</w:t>
      </w:r>
    </w:p>
    <w:p w14:paraId="42138056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Zezwolenie jako przejaw reglamentacji działalności gospodarczej</w:t>
      </w:r>
    </w:p>
    <w:p w14:paraId="012F3E0F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Działalność regulowana</w:t>
      </w:r>
    </w:p>
    <w:p w14:paraId="0C6C7E9F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Działalność gospodarcza Skarbu Państwa</w:t>
      </w:r>
    </w:p>
    <w:p w14:paraId="394263F1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lastRenderedPageBreak/>
        <w:t>Prawne aspekty gospodarki komunalnej</w:t>
      </w:r>
    </w:p>
    <w:p w14:paraId="4300F326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Samorząd gospodarczy w świetle polskiego prawa</w:t>
      </w:r>
    </w:p>
    <w:p w14:paraId="167CCBD4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Wykonawca w postępowaniu o udzielenie zamówienia publicznego</w:t>
      </w:r>
    </w:p>
    <w:p w14:paraId="4CA44162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Umowa w sprawie zamówienia publicznego</w:t>
      </w:r>
    </w:p>
    <w:p w14:paraId="546D1D60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</w:rPr>
      </w:pPr>
      <w:r w:rsidRPr="00EB52D3">
        <w:rPr>
          <w:rFonts w:ascii="Times New Roman" w:hAnsi="Times New Roman"/>
        </w:rPr>
        <w:t>Zamówienia zastrzeżone w świetle Prawa zamówień publicznych</w:t>
      </w:r>
    </w:p>
    <w:p w14:paraId="790CBE5E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</w:rPr>
      </w:pPr>
      <w:r w:rsidRPr="00EB52D3">
        <w:rPr>
          <w:rFonts w:ascii="Times New Roman" w:hAnsi="Times New Roman"/>
          <w:color w:val="000000" w:themeColor="text1"/>
        </w:rPr>
        <w:t>Zasada jawności Krajowego Rejestru Sądowego</w:t>
      </w:r>
    </w:p>
    <w:p w14:paraId="78F01BD3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</w:rPr>
      </w:pPr>
      <w:r w:rsidRPr="00EB52D3">
        <w:rPr>
          <w:rFonts w:ascii="Times New Roman" w:hAnsi="Times New Roman"/>
          <w:color w:val="000000" w:themeColor="text1"/>
        </w:rPr>
        <w:t>Postępowanie przymuszające w postępowaniu rejestrowym (KRS)</w:t>
      </w:r>
    </w:p>
    <w:p w14:paraId="2E685B46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</w:rPr>
      </w:pPr>
      <w:r w:rsidRPr="00EB52D3">
        <w:rPr>
          <w:rFonts w:ascii="Times New Roman" w:hAnsi="Times New Roman"/>
          <w:color w:val="000000" w:themeColor="text1"/>
        </w:rPr>
        <w:t>Istota i funkcje kary umownej</w:t>
      </w:r>
    </w:p>
    <w:p w14:paraId="74825C60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</w:rPr>
      </w:pPr>
      <w:r w:rsidRPr="00EB52D3">
        <w:rPr>
          <w:rFonts w:ascii="Times New Roman" w:hAnsi="Times New Roman"/>
          <w:color w:val="000000" w:themeColor="text1"/>
        </w:rPr>
        <w:t>Miarkowanie kary umownej</w:t>
      </w:r>
    </w:p>
    <w:p w14:paraId="481EC7CF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</w:rPr>
      </w:pPr>
      <w:r w:rsidRPr="00EB52D3">
        <w:rPr>
          <w:rFonts w:ascii="Times New Roman" w:hAnsi="Times New Roman"/>
          <w:color w:val="000000" w:themeColor="text1"/>
        </w:rPr>
        <w:t>Ochrona podwykonawców robót budowlanych w kodeksie cywilnym</w:t>
      </w:r>
    </w:p>
    <w:p w14:paraId="5FE430A1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</w:rPr>
      </w:pPr>
      <w:r w:rsidRPr="00EB52D3">
        <w:rPr>
          <w:rFonts w:ascii="Times New Roman" w:hAnsi="Times New Roman"/>
          <w:color w:val="000000" w:themeColor="text1"/>
        </w:rPr>
        <w:t>Podstawy prawne odstąpienia od umowy o roboty budowlane</w:t>
      </w:r>
    </w:p>
    <w:p w14:paraId="502A87EC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</w:rPr>
      </w:pPr>
      <w:r w:rsidRPr="00EB52D3">
        <w:rPr>
          <w:rFonts w:ascii="Times New Roman" w:hAnsi="Times New Roman"/>
          <w:color w:val="000000" w:themeColor="text1"/>
        </w:rPr>
        <w:t>Upadłość konsumencka</w:t>
      </w:r>
    </w:p>
    <w:p w14:paraId="0AAD571B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</w:rPr>
      </w:pPr>
      <w:r w:rsidRPr="00EB52D3">
        <w:rPr>
          <w:rFonts w:ascii="Times New Roman" w:hAnsi="Times New Roman"/>
          <w:color w:val="000000" w:themeColor="text1"/>
        </w:rPr>
        <w:t>Prokura w spółkach handlowych</w:t>
      </w:r>
    </w:p>
    <w:p w14:paraId="36F36FA4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</w:rPr>
      </w:pPr>
      <w:r w:rsidRPr="00EB52D3">
        <w:rPr>
          <w:rFonts w:ascii="Times New Roman" w:hAnsi="Times New Roman"/>
          <w:color w:val="000000" w:themeColor="text1"/>
        </w:rPr>
        <w:t>Odpowiedzialność za zobowiązania spółki jawnej</w:t>
      </w:r>
    </w:p>
    <w:p w14:paraId="340EAF56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</w:rPr>
      </w:pPr>
      <w:r w:rsidRPr="00EB52D3">
        <w:rPr>
          <w:rFonts w:ascii="Times New Roman" w:hAnsi="Times New Roman"/>
          <w:color w:val="000000" w:themeColor="text1"/>
        </w:rPr>
        <w:t>Reprezentacja i prowadzenie spraw w spółce komandytowej</w:t>
      </w:r>
    </w:p>
    <w:p w14:paraId="32693808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</w:rPr>
      </w:pPr>
      <w:r w:rsidRPr="00EB52D3">
        <w:rPr>
          <w:rFonts w:ascii="Times New Roman" w:hAnsi="Times New Roman"/>
          <w:color w:val="000000" w:themeColor="text1"/>
        </w:rPr>
        <w:t>Tworzenie spółki z o.o.</w:t>
      </w:r>
    </w:p>
    <w:p w14:paraId="099750D1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</w:rPr>
      </w:pPr>
      <w:r w:rsidRPr="00EB52D3">
        <w:rPr>
          <w:rFonts w:ascii="Times New Roman" w:hAnsi="Times New Roman"/>
          <w:color w:val="000000" w:themeColor="text1"/>
        </w:rPr>
        <w:t>Prawa korporacyjne wspólnika spółki z o.o.</w:t>
      </w:r>
    </w:p>
    <w:p w14:paraId="0D042776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</w:rPr>
      </w:pPr>
      <w:r w:rsidRPr="00EB52D3">
        <w:rPr>
          <w:rFonts w:ascii="Times New Roman" w:hAnsi="Times New Roman"/>
          <w:color w:val="000000" w:themeColor="text1"/>
        </w:rPr>
        <w:t>Podejmowanie uchwał na zgromadzeniu spółki z o.o.</w:t>
      </w:r>
    </w:p>
    <w:p w14:paraId="736AA2EB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</w:rPr>
      </w:pPr>
      <w:r w:rsidRPr="00EB52D3">
        <w:rPr>
          <w:rFonts w:ascii="Times New Roman" w:hAnsi="Times New Roman"/>
          <w:color w:val="000000" w:themeColor="text1"/>
        </w:rPr>
        <w:t>Reprezentacja spółki z o.o.</w:t>
      </w:r>
    </w:p>
    <w:p w14:paraId="5CF91565" w14:textId="77777777" w:rsidR="00834EA5" w:rsidRPr="00EB52D3" w:rsidRDefault="00834EA5" w:rsidP="00834EA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</w:rPr>
      </w:pPr>
      <w:r w:rsidRPr="00EB52D3">
        <w:rPr>
          <w:rFonts w:ascii="Times New Roman" w:hAnsi="Times New Roman"/>
          <w:color w:val="000000" w:themeColor="text1"/>
        </w:rPr>
        <w:t>Mandat i kadencja członka zarządu spółki z o.o.</w:t>
      </w:r>
    </w:p>
    <w:p w14:paraId="0A75FF64" w14:textId="3D61E371" w:rsidR="00D136A9" w:rsidRPr="00834EA5" w:rsidRDefault="00D136A9" w:rsidP="00834EA5"/>
    <w:sectPr w:rsidR="00D136A9" w:rsidRPr="00834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96C2E"/>
    <w:multiLevelType w:val="hybridMultilevel"/>
    <w:tmpl w:val="D3B2D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04EF8"/>
    <w:multiLevelType w:val="hybridMultilevel"/>
    <w:tmpl w:val="90267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A9"/>
    <w:rsid w:val="001C76E6"/>
    <w:rsid w:val="002E564B"/>
    <w:rsid w:val="003C0655"/>
    <w:rsid w:val="004B18E0"/>
    <w:rsid w:val="00834EA5"/>
    <w:rsid w:val="008B04D7"/>
    <w:rsid w:val="00BF1751"/>
    <w:rsid w:val="00BF76D9"/>
    <w:rsid w:val="00D136A9"/>
    <w:rsid w:val="00D6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A9A0"/>
  <w15:chartTrackingRefBased/>
  <w15:docId w15:val="{C64B8331-7056-4282-9424-FEBCCBA1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EA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6A9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D9DAB-349E-4F2E-8E97-8AC30AFF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Przybylska</dc:creator>
  <cp:keywords/>
  <dc:description/>
  <cp:lastModifiedBy>Agnieszka Przybylska</cp:lastModifiedBy>
  <cp:revision>6</cp:revision>
  <dcterms:created xsi:type="dcterms:W3CDTF">2021-09-10T07:48:00Z</dcterms:created>
  <dcterms:modified xsi:type="dcterms:W3CDTF">2021-10-26T11:46:00Z</dcterms:modified>
</cp:coreProperties>
</file>