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835" w14:textId="77777777" w:rsidR="007B534D" w:rsidRPr="001C51E1" w:rsidRDefault="007B534D" w:rsidP="007B534D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FINANSOWEGO I PRAWA PODATKOWEGO</w:t>
      </w:r>
    </w:p>
    <w:p w14:paraId="687AD916" w14:textId="77777777" w:rsidR="007B534D" w:rsidRPr="00B670F6" w:rsidRDefault="007B534D" w:rsidP="007B534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(Dr hab. Bogumił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Pahl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Prof. UWM Dr Michał Mariański, Dr Janusz Orłowski)</w:t>
      </w:r>
    </w:p>
    <w:p w14:paraId="4BE7070B" w14:textId="77777777" w:rsidR="007B534D" w:rsidRPr="001C51E1" w:rsidRDefault="007B534D" w:rsidP="007B534D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90619F8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Zabezpieczenie wykonania zobowiązań podatkowych.</w:t>
      </w:r>
    </w:p>
    <w:p w14:paraId="7A1F2B49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Odpowiedzialność podatnika za zobowiązania podatkowe.</w:t>
      </w:r>
    </w:p>
    <w:p w14:paraId="18CC9AD0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Odpowiedzialność podatkowa osób trzecich.</w:t>
      </w:r>
    </w:p>
    <w:p w14:paraId="7C5BEACF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Efektywne sposoby wygasania zobowiązań podatkowych.</w:t>
      </w:r>
    </w:p>
    <w:p w14:paraId="6D4C11D0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Przedawnienie w prawie podatkowym.</w:t>
      </w:r>
    </w:p>
    <w:p w14:paraId="1A545A44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Zasady postępowania podatkowego.</w:t>
      </w:r>
    </w:p>
    <w:p w14:paraId="3117A65D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Procedury kontrolne w polskim prawie podatkowym.</w:t>
      </w:r>
    </w:p>
    <w:p w14:paraId="73561872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Przedmiot opodatkowania w podatku dochodowym od osób fizycznych.</w:t>
      </w:r>
    </w:p>
    <w:p w14:paraId="48F4C560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 xml:space="preserve">Opodatkowanie dochodów z działalności gospodarczej. </w:t>
      </w:r>
    </w:p>
    <w:p w14:paraId="7144C65E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Zryczałtowane formy opodatkowania dochodów osób fizycznych.</w:t>
      </w:r>
    </w:p>
    <w:p w14:paraId="767B03D3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Wybrane zwolnienia i ulgi w podatku od spadków i darowizn.</w:t>
      </w:r>
    </w:p>
    <w:p w14:paraId="684EA345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Opodatkowanie władania nieruchomościami gruntowymi w Polsce.</w:t>
      </w:r>
    </w:p>
    <w:p w14:paraId="2BDA8461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Podatek od środków transportowych w orzecznictwie sądów administracyjnych.</w:t>
      </w:r>
    </w:p>
    <w:p w14:paraId="79154FCE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Podatek od nieruchomości w świetle orzecznictwa Trybunału Konstytucyjnego.</w:t>
      </w:r>
    </w:p>
    <w:p w14:paraId="41A3987B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 xml:space="preserve">Rozwój </w:t>
      </w:r>
      <w:proofErr w:type="spellStart"/>
      <w:r w:rsidRPr="001C51E1">
        <w:rPr>
          <w:rFonts w:ascii="Times New Roman" w:hAnsi="Times New Roman" w:cs="Times New Roman"/>
        </w:rPr>
        <w:t>kryptowalut</w:t>
      </w:r>
      <w:proofErr w:type="spellEnd"/>
      <w:r w:rsidRPr="001C51E1">
        <w:rPr>
          <w:rFonts w:ascii="Times New Roman" w:hAnsi="Times New Roman" w:cs="Times New Roman"/>
        </w:rPr>
        <w:t xml:space="preserve"> jako próba uniknięcia instytucjonalnej regulacji.</w:t>
      </w:r>
    </w:p>
    <w:p w14:paraId="3C1D9042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Opcja walutowe jako sposób zabezpieczania się przed ryzykiem na rynku finansowym.</w:t>
      </w:r>
    </w:p>
    <w:p w14:paraId="55340B31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Istota i charakter prawny doradztwa inwestycyjnego.</w:t>
      </w:r>
    </w:p>
    <w:p w14:paraId="489E4120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Charakter prawny i konstrukcja list ostrożnościowych KNF.</w:t>
      </w:r>
    </w:p>
    <w:p w14:paraId="7A3538CC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Pojęcie papieru wartościowego wobec dematerializacji.</w:t>
      </w:r>
    </w:p>
    <w:p w14:paraId="66D0D195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Charakter prawny RATINGU jako oceny wiarygodności kredytowej.</w:t>
      </w:r>
    </w:p>
    <w:p w14:paraId="74053B7C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Swoboda przepływu kapitałów a rozwój elektronicznych środków płatniczych.</w:t>
      </w:r>
    </w:p>
    <w:p w14:paraId="07C7F5A4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 xml:space="preserve">Pojęcie uciążliwości podatkowej (analiza wybranych Państw na podstawie raportu </w:t>
      </w:r>
      <w:proofErr w:type="spellStart"/>
      <w:r w:rsidRPr="001C51E1">
        <w:rPr>
          <w:rFonts w:ascii="Times New Roman" w:hAnsi="Times New Roman" w:cs="Times New Roman"/>
        </w:rPr>
        <w:t>Paying</w:t>
      </w:r>
      <w:proofErr w:type="spellEnd"/>
      <w:r w:rsidRPr="001C51E1">
        <w:rPr>
          <w:rFonts w:ascii="Times New Roman" w:hAnsi="Times New Roman" w:cs="Times New Roman"/>
        </w:rPr>
        <w:t xml:space="preserve"> </w:t>
      </w:r>
      <w:proofErr w:type="spellStart"/>
      <w:r w:rsidRPr="001C51E1">
        <w:rPr>
          <w:rFonts w:ascii="Times New Roman" w:hAnsi="Times New Roman" w:cs="Times New Roman"/>
        </w:rPr>
        <w:t>taxes</w:t>
      </w:r>
      <w:proofErr w:type="spellEnd"/>
      <w:r w:rsidRPr="001C51E1">
        <w:rPr>
          <w:rFonts w:ascii="Times New Roman" w:hAnsi="Times New Roman" w:cs="Times New Roman"/>
        </w:rPr>
        <w:t>)</w:t>
      </w:r>
    </w:p>
    <w:p w14:paraId="1D275625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Bankowy tytuł egzekucyjny w świetle orzecznictwa TK.</w:t>
      </w:r>
    </w:p>
    <w:p w14:paraId="09207A73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Istota i charakter budżetu obywatelskiego.</w:t>
      </w:r>
    </w:p>
    <w:p w14:paraId="3E063950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Problematyka unieważnienia umów kredytów denominowanych lub indeksowanych w walucie obcej.</w:t>
      </w:r>
    </w:p>
    <w:p w14:paraId="0FD179FF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Kredyty walutowe w świetle orzecznictwa TSUE.</w:t>
      </w:r>
    </w:p>
    <w:p w14:paraId="7241ED7F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Bankowość elektroniczna w nowym otoczeniu prawnym.</w:t>
      </w:r>
    </w:p>
    <w:p w14:paraId="66411460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C51E1">
        <w:rPr>
          <w:rFonts w:ascii="Times New Roman" w:hAnsi="Times New Roman" w:cs="Times New Roman"/>
        </w:rPr>
        <w:t>Pojecie</w:t>
      </w:r>
      <w:proofErr w:type="spellEnd"/>
      <w:r w:rsidRPr="001C51E1">
        <w:rPr>
          <w:rFonts w:ascii="Times New Roman" w:hAnsi="Times New Roman" w:cs="Times New Roman"/>
        </w:rPr>
        <w:t xml:space="preserve"> dokumentu w prawie finansowym  i podatkowym -  ewolucja i kierunki przemian.</w:t>
      </w:r>
    </w:p>
    <w:p w14:paraId="69B78ECC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Pojęcie instrumentu finansowego w prawie prywatnym międzynarodowym.</w:t>
      </w:r>
    </w:p>
    <w:p w14:paraId="41EE25D7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Prawo właściwe dla transakcji finansowych.</w:t>
      </w:r>
    </w:p>
    <w:p w14:paraId="682E7B00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Specyfika systemu podatkowego we Francji.</w:t>
      </w:r>
    </w:p>
    <w:p w14:paraId="5A319D4B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Obowiązkowe i fakultatywne podatki gminne we Francji.</w:t>
      </w:r>
    </w:p>
    <w:p w14:paraId="3C6C2E79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lastRenderedPageBreak/>
        <w:t>Zmiany w nadzorze nad rynkiem finansowym na przykładzie Polski i Francji.</w:t>
      </w:r>
    </w:p>
    <w:p w14:paraId="1D3FA4D6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Zasada swobody umów a innowacyjność na rynku instrumentów finansowych.</w:t>
      </w:r>
    </w:p>
    <w:p w14:paraId="2DA36728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Założenia i struktura Europejskiego Systemu Nadzoru nad rynkiem finansowym.</w:t>
      </w:r>
    </w:p>
    <w:p w14:paraId="70B932F5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Charakter prawny i ewolucja poziomu stóp procentowych w Polsce.</w:t>
      </w:r>
    </w:p>
    <w:p w14:paraId="0BE4E182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Wpływ ograniczeń związanych z pandemią COVID-19 na finanse publiczne w Polsce oraz w innych wybranych państwach UE.</w:t>
      </w:r>
    </w:p>
    <w:p w14:paraId="66ABFF7B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C51E1">
        <w:rPr>
          <w:rFonts w:ascii="Times New Roman" w:hAnsi="Times New Roman" w:cs="Times New Roman"/>
        </w:rPr>
        <w:t>FinTech</w:t>
      </w:r>
      <w:proofErr w:type="spellEnd"/>
      <w:r w:rsidRPr="001C51E1">
        <w:rPr>
          <w:rFonts w:ascii="Times New Roman" w:hAnsi="Times New Roman" w:cs="Times New Roman"/>
        </w:rPr>
        <w:t xml:space="preserve"> – szanse i zagrożenia w rozwoju nowych technologii. Wybrane zagadnienia prawne.</w:t>
      </w:r>
    </w:p>
    <w:p w14:paraId="6F7507EB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Crowdfunding jako nowe źródło pozyskiwania kapitału.</w:t>
      </w:r>
    </w:p>
    <w:p w14:paraId="77BDB455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Kompetencje kontrolne Straży Granicznej i ich znaczenie dla systemu finansowego Państwa</w:t>
      </w:r>
    </w:p>
    <w:p w14:paraId="43BC2BB9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Innowacyjność – ulga podatkowa dla przedsiębiorców inwestujących w badania i rozwój</w:t>
      </w:r>
    </w:p>
    <w:p w14:paraId="24E62203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Określenie podstawy opodatkowania w drodze oszacowania</w:t>
      </w:r>
    </w:p>
    <w:p w14:paraId="2BB3A3B5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Finansowanie aktywizacji zawodowej osób niepełnosprawnych</w:t>
      </w:r>
    </w:p>
    <w:p w14:paraId="259C2FB2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Ewolucja przepisu o przedawnieniu zobowiązań podatkowych na gruncie art. 70 ordynacji podatkowej z 1997 r.</w:t>
      </w:r>
    </w:p>
    <w:p w14:paraId="73DE8A71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Dowód z opinii biegłego (w sprawach finansowych)</w:t>
      </w:r>
    </w:p>
    <w:p w14:paraId="3B71F588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 xml:space="preserve">Sankcje prawnopodatkowe w orzecznictwie </w:t>
      </w:r>
      <w:proofErr w:type="spellStart"/>
      <w:r w:rsidRPr="001C51E1">
        <w:rPr>
          <w:rFonts w:ascii="Times New Roman" w:hAnsi="Times New Roman" w:cs="Times New Roman"/>
        </w:rPr>
        <w:t>sądowoadministracyjnym</w:t>
      </w:r>
      <w:proofErr w:type="spellEnd"/>
    </w:p>
    <w:p w14:paraId="1DE52C37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Plan finansowy jednostki budżetowej</w:t>
      </w:r>
    </w:p>
    <w:p w14:paraId="7BDDEA3B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Ulgi i inne preferencje rodzinne w konstrukcji podatku dochodowego od osób fizycznych</w:t>
      </w:r>
    </w:p>
    <w:p w14:paraId="0B6FD8BE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C51E1">
        <w:rPr>
          <w:rFonts w:ascii="Times New Roman" w:hAnsi="Times New Roman" w:cs="Times New Roman"/>
        </w:rPr>
        <w:t>Cooperative</w:t>
      </w:r>
      <w:proofErr w:type="spellEnd"/>
      <w:r w:rsidRPr="001C51E1">
        <w:rPr>
          <w:rFonts w:ascii="Times New Roman" w:hAnsi="Times New Roman" w:cs="Times New Roman"/>
        </w:rPr>
        <w:t xml:space="preserve"> </w:t>
      </w:r>
      <w:proofErr w:type="spellStart"/>
      <w:r w:rsidRPr="001C51E1">
        <w:rPr>
          <w:rFonts w:ascii="Times New Roman" w:hAnsi="Times New Roman" w:cs="Times New Roman"/>
        </w:rPr>
        <w:t>compliance</w:t>
      </w:r>
      <w:proofErr w:type="spellEnd"/>
      <w:r w:rsidRPr="001C51E1">
        <w:rPr>
          <w:rFonts w:ascii="Times New Roman" w:hAnsi="Times New Roman" w:cs="Times New Roman"/>
        </w:rPr>
        <w:t xml:space="preserve"> w sprawach podatkowych</w:t>
      </w:r>
    </w:p>
    <w:p w14:paraId="5CDA9583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Finansowanie działalności samorządowej instytucji kultury na przykładzie ….</w:t>
      </w:r>
    </w:p>
    <w:p w14:paraId="48A6AE09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Ulgi w spłacie podatków jako forma pomocy publicznej dla przedsiębiorców</w:t>
      </w:r>
    </w:p>
    <w:p w14:paraId="3D6F7B3E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Wydatki budżetu gminy … na zadania z zakresu pomocy społecznej w latach …</w:t>
      </w:r>
    </w:p>
    <w:p w14:paraId="78D7C98B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Opodatkowanie dochodów z praw majątkowych</w:t>
      </w:r>
    </w:p>
    <w:p w14:paraId="095BD967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Subwencje i dotacje jako dochody budżetu gminy</w:t>
      </w:r>
    </w:p>
    <w:p w14:paraId="23AFFA4B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Odpowiedzialność płatnika w prawie podatkowym</w:t>
      </w:r>
    </w:p>
    <w:p w14:paraId="3121D9BA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Zasady jawności i przejrzystości finansów publicznych</w:t>
      </w:r>
    </w:p>
    <w:p w14:paraId="7AAA7D2C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Nabycie oraz zbycie lokalu mieszkalnego we współczesnym polskim systemie podatkowym</w:t>
      </w:r>
    </w:p>
    <w:p w14:paraId="7991018F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Kompetencje naczelnika urzędu celno-skarbowego</w:t>
      </w:r>
    </w:p>
    <w:p w14:paraId="4AF5BF76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Gospodarka finansowa zakładu budżetowego</w:t>
      </w:r>
    </w:p>
    <w:p w14:paraId="50BEFD17" w14:textId="77777777" w:rsidR="007B534D" w:rsidRPr="001C51E1" w:rsidRDefault="007B534D" w:rsidP="007B534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C51E1">
        <w:rPr>
          <w:rFonts w:ascii="Times New Roman" w:hAnsi="Times New Roman" w:cs="Times New Roman"/>
        </w:rPr>
        <w:t>Kształtowanie podstawy opodatkowania akcyzą</w:t>
      </w:r>
    </w:p>
    <w:p w14:paraId="252F0F6C" w14:textId="77777777" w:rsidR="00C533DE" w:rsidRDefault="00C533DE" w:rsidP="00C533DE">
      <w:pPr>
        <w:spacing w:line="360" w:lineRule="auto"/>
        <w:jc w:val="both"/>
      </w:pPr>
    </w:p>
    <w:p w14:paraId="365DF947" w14:textId="77777777" w:rsidR="00D62DF4" w:rsidRDefault="00D62DF4"/>
    <w:sectPr w:rsidR="00D6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7647"/>
    <w:multiLevelType w:val="hybridMultilevel"/>
    <w:tmpl w:val="7252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835"/>
    <w:multiLevelType w:val="hybridMultilevel"/>
    <w:tmpl w:val="FE58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23C"/>
    <w:multiLevelType w:val="hybridMultilevel"/>
    <w:tmpl w:val="4D30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E"/>
    <w:rsid w:val="007B534D"/>
    <w:rsid w:val="00C533DE"/>
    <w:rsid w:val="00D2682D"/>
    <w:rsid w:val="00D62DF4"/>
    <w:rsid w:val="00D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CC7"/>
  <w15:chartTrackingRefBased/>
  <w15:docId w15:val="{737F586D-2DC1-45A3-99C4-29BC73D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3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4</cp:revision>
  <cp:lastPrinted>2021-09-15T12:21:00Z</cp:lastPrinted>
  <dcterms:created xsi:type="dcterms:W3CDTF">2021-09-10T06:53:00Z</dcterms:created>
  <dcterms:modified xsi:type="dcterms:W3CDTF">2021-10-26T11:50:00Z</dcterms:modified>
</cp:coreProperties>
</file>