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8598" w14:textId="77777777" w:rsidR="005E2D89" w:rsidRPr="001C51E1" w:rsidRDefault="005E2D89" w:rsidP="005E2D89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CYWILNEGO I PRAWA PRYWATNEGO MIĘDZYNARODOWEGO</w:t>
      </w:r>
    </w:p>
    <w:p w14:paraId="185A0E75" w14:textId="77777777" w:rsidR="005E2D89" w:rsidRPr="001C51E1" w:rsidRDefault="005E2D89" w:rsidP="005E2D8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Adam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Bieranowski</w:t>
      </w:r>
      <w:proofErr w:type="spellEnd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prof. UWM Dr hab. Jerzy Krzynówek, prof. UWM,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Dr hab. Marek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Salamonowicz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E96A1B" w14:textId="5ED12B83" w:rsidR="005E2D89" w:rsidRDefault="005E2D89" w:rsidP="005E2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175C" w14:textId="77777777" w:rsidR="005E2D89" w:rsidRPr="00EB52D3" w:rsidRDefault="005E2D89" w:rsidP="005E2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87237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Umowa deweloperska według nowej regulacji prawnej</w:t>
      </w:r>
    </w:p>
    <w:p w14:paraId="2D626AB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Częściowy podział majątku wspólnego</w:t>
      </w:r>
    </w:p>
    <w:p w14:paraId="33A5CECC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Wyrok w przedmiocie uzgodnienia treści księgi wieczystej</w:t>
      </w:r>
    </w:p>
    <w:p w14:paraId="7AFB356F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Cudzoziemiec jako zapisobierca windykacyjny</w:t>
      </w:r>
    </w:p>
    <w:p w14:paraId="123DCE8D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Wykaz inwentarza</w:t>
      </w:r>
    </w:p>
    <w:p w14:paraId="6829A800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Nabycie przez zasiedzenie służebności </w:t>
      </w:r>
      <w:proofErr w:type="spellStart"/>
      <w:r w:rsidRPr="00EB52D3">
        <w:rPr>
          <w:rFonts w:ascii="Times New Roman" w:hAnsi="Times New Roman" w:cs="Times New Roman"/>
        </w:rPr>
        <w:t>przesyłu</w:t>
      </w:r>
      <w:proofErr w:type="spellEnd"/>
    </w:p>
    <w:p w14:paraId="211EEB5B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Odstąpienie od umowy deweloperskiej</w:t>
      </w:r>
    </w:p>
    <w:p w14:paraId="3A37D65B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Oświadczenia woli składane przy użyciu mediów elektronicznych</w:t>
      </w:r>
    </w:p>
    <w:p w14:paraId="0B2721CD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Status wspólnoty mieszkaniowej z uwzględnieniem projektowanej regulacji</w:t>
      </w:r>
    </w:p>
    <w:p w14:paraId="7748668C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Wygaśnięcie hipoteki przymusowej</w:t>
      </w:r>
    </w:p>
    <w:p w14:paraId="2F930817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Europejskie poświadczenie spadkowe</w:t>
      </w:r>
    </w:p>
    <w:p w14:paraId="36AA1E5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Zadatek w świetle orzecznictwa Sądu Najwyższego</w:t>
      </w:r>
    </w:p>
    <w:p w14:paraId="3759D99A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Uprawnienia kupującego z tytułu rękojmi</w:t>
      </w:r>
    </w:p>
    <w:p w14:paraId="0CFDAA10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Nasciturus jako poszkodowany</w:t>
      </w:r>
    </w:p>
    <w:p w14:paraId="7A71D55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u w:val="single"/>
        </w:rPr>
      </w:pPr>
      <w:r w:rsidRPr="00EB52D3">
        <w:rPr>
          <w:rFonts w:ascii="Times New Roman" w:hAnsi="Times New Roman" w:cs="Times New Roman"/>
        </w:rPr>
        <w:t>Hipoteka łączna ustawowa</w:t>
      </w:r>
    </w:p>
    <w:p w14:paraId="7C1361C5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inwestora wobec podwykonawców w umowie o roboty budowlane</w:t>
      </w:r>
    </w:p>
    <w:p w14:paraId="0E9AAEB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Przetarg jako forma zawarcia umowy w praktyce administracji publicznej</w:t>
      </w:r>
    </w:p>
    <w:p w14:paraId="5F2C73F9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Stan cywilny i jego ustalanie w świetle prawa cywilnego</w:t>
      </w:r>
    </w:p>
    <w:p w14:paraId="4769EFB9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Przekształcanie użytkowania wieczystego we własność – podstawy prawne i rola organu administracji</w:t>
      </w:r>
    </w:p>
    <w:p w14:paraId="461E64FF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dóbr osobistych jednostek samorządu terytorialnego</w:t>
      </w:r>
    </w:p>
    <w:p w14:paraId="17156DD8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Skarb Państwa i jego reprezentacja w obrocie cywilnoprawnym</w:t>
      </w:r>
    </w:p>
    <w:p w14:paraId="2C23BDD4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Zarządzanie nieruchomościami komunalnymi w świetle ustawy o gospodarowaniu nieruchomościami</w:t>
      </w:r>
    </w:p>
    <w:p w14:paraId="723636F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gminy za szkody wyrządzone przy wykonywaniu władzy</w:t>
      </w:r>
    </w:p>
    <w:p w14:paraId="24E8AB55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Sytuacja prawna zwierzęcia łownego w świetle prawa cywilnego</w:t>
      </w:r>
    </w:p>
    <w:p w14:paraId="0D01958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Cywilnoprawne zagadnienia najmu lokali komunalnych</w:t>
      </w:r>
    </w:p>
    <w:p w14:paraId="10D11D2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Mechanizm abstrakcyjnej kontroli wzorów umów zawieranych z konsumentami</w:t>
      </w:r>
    </w:p>
    <w:p w14:paraId="4157355C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Wizerunek. Pojęcie, ochrona, zjawisko komercjalizacji.</w:t>
      </w:r>
    </w:p>
    <w:p w14:paraId="49A6D10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Przedsiębiorca jako strona stosunku cywilnoprawnego w świetle Kodeksu cywilnego</w:t>
      </w:r>
    </w:p>
    <w:p w14:paraId="1FACF140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Podstawy prawne sporządzenia aktu zgonu</w:t>
      </w:r>
    </w:p>
    <w:p w14:paraId="48AFEE94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Przyczyny i skutki umieszczenia dziecka w pieczy zastępczej</w:t>
      </w:r>
    </w:p>
    <w:p w14:paraId="206084CD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ośrodków adopcyjnych w postępowaniu o przysposobienie</w:t>
      </w:r>
    </w:p>
    <w:p w14:paraId="31D3689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Wykonywanie władzy rodzicielskiej przez rodziców żyjących w rozłączeniu</w:t>
      </w:r>
    </w:p>
    <w:p w14:paraId="165F5014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Ustalanie stanu cywilnego dziecka poczętego</w:t>
      </w:r>
    </w:p>
    <w:p w14:paraId="618FDB17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Zabezpieczanie roszczeń alimentacyjnych</w:t>
      </w:r>
    </w:p>
    <w:p w14:paraId="66D4FAAA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Sytuacja prawna osoby prawnej bez organu właściwego do jej reprezentacji</w:t>
      </w:r>
    </w:p>
    <w:p w14:paraId="13A12886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dóbr osobistych w Internecie. Prawo do prywatności.</w:t>
      </w:r>
    </w:p>
    <w:p w14:paraId="289C4B36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praw autorskich w Internecie. Zwalczanie naruszeń praw autorskich w Internecie.</w:t>
      </w:r>
    </w:p>
    <w:p w14:paraId="0EFE28B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Dostęp do informacji publicznych, ochrona danych osobowych, tajemnicy przedsiębiorstwa, na przykładzie organu.</w:t>
      </w:r>
    </w:p>
    <w:p w14:paraId="476DB77F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Ograniczenia zasady jawności postępowania administracyjnego, na przykładzie UOKIK.</w:t>
      </w:r>
    </w:p>
    <w:p w14:paraId="57255EFF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wzornictwa przemysłowego przed (naśladownictwem) naruszeniem. Zwalczanie naruszeń.</w:t>
      </w:r>
    </w:p>
    <w:p w14:paraId="4FBA5100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Znaki towarowe – treść, zakres, zwalczanie naruszeń. Znaki renomowane, zakres ochrony.</w:t>
      </w:r>
    </w:p>
    <w:p w14:paraId="39C24A36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Treść i charakter prawny: umowy franchisingu.</w:t>
      </w:r>
    </w:p>
    <w:p w14:paraId="6DA5D1F5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Treść i charakter prawny: umowy licencyjnej na korzystanie z cudzych rozwiązań technicznych, na korzystanie z cudzego utworu.</w:t>
      </w:r>
    </w:p>
    <w:p w14:paraId="0D7483C4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Zakres ochrony patentowej wynalazku (co może być chronione, jak daleko sięga ochrona patentowa, co jest wyłączone)</w:t>
      </w:r>
    </w:p>
    <w:p w14:paraId="49EFAF13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oznaczeń geograficznych – produkty regionalne. Rola ochrony.</w:t>
      </w:r>
    </w:p>
    <w:p w14:paraId="0B1C4093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Zwalczanie nieuczciwej i zakazanej reklamy: reklama porównawcza, reklama wprowadzająca w błąd, lokowanie produktu, reklama w Internecie.</w:t>
      </w:r>
    </w:p>
    <w:p w14:paraId="55E6049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tajemnicy przedsiębiorstwa przed naruszeniem.</w:t>
      </w:r>
    </w:p>
    <w:p w14:paraId="744C0A98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Zakres prawno-autorskiej ochrony programów komputerowych.</w:t>
      </w:r>
    </w:p>
    <w:p w14:paraId="243F6A52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Wprowadzające w błąd oznaczenie produktu jako czyn nieuczciwej konkurencji.</w:t>
      </w:r>
    </w:p>
    <w:p w14:paraId="2FDEA46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Zakaz nadużywania pozycji dominującej w praktyce UOKIK. (wybrać branżę: telekomunikacja, poczta, transport kolejowy, energetyka, itp.)</w:t>
      </w:r>
    </w:p>
    <w:p w14:paraId="0B56E53C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Zakaz (zmów kartelowych), wyłączenia, praktyczne funkcjonowanie w określonych sektorach (transfer technologii, porozumienia horyzontalne, wertykalne).</w:t>
      </w:r>
    </w:p>
    <w:p w14:paraId="1FA4D709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Kontrola koncentracji przedsiębiorców w działalności UOKIK lub Komisji.</w:t>
      </w:r>
    </w:p>
    <w:p w14:paraId="11DA3C81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Praktyki naruszające zbiorowe interesy konsumentów i ich zwalczanie.</w:t>
      </w:r>
    </w:p>
    <w:p w14:paraId="7C4FD83B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Koncesje, zezwolenia i wpis do rejestru działalności regulowanej na wybranym przykładzie.</w:t>
      </w:r>
    </w:p>
    <w:p w14:paraId="1E27588E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funkcjonowania KRS lub CEIDG.</w:t>
      </w:r>
    </w:p>
    <w:p w14:paraId="667D02A5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Prawna ochrona firmy przedsiębiorcy.</w:t>
      </w:r>
    </w:p>
    <w:p w14:paraId="64DB6395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za zobowiązania spółki cywilnej, spółki jawnej, komandytowej, partnerskiej, z o.o.</w:t>
      </w:r>
    </w:p>
    <w:p w14:paraId="4F883DB2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Reprezentacja spółki cywilnej, jawnej, komandytowej, partnerskiej, z o.o.</w:t>
      </w:r>
    </w:p>
    <w:p w14:paraId="38B3A517" w14:textId="77777777" w:rsidR="005E2D89" w:rsidRPr="00EB52D3" w:rsidRDefault="005E2D89" w:rsidP="005E2D8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wnoszenia aportów do spółki z o.o. lub akcyjnej.</w:t>
      </w:r>
    </w:p>
    <w:p w14:paraId="3B7A0FC9" w14:textId="77777777" w:rsidR="00994BE6" w:rsidRPr="005E2D89" w:rsidRDefault="00994BE6" w:rsidP="005E2D89"/>
    <w:sectPr w:rsidR="00994BE6" w:rsidRPr="005E2D89" w:rsidSect="00B6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3B5"/>
    <w:multiLevelType w:val="hybridMultilevel"/>
    <w:tmpl w:val="1D5EE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805"/>
    <w:multiLevelType w:val="hybridMultilevel"/>
    <w:tmpl w:val="9780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6AA"/>
    <w:multiLevelType w:val="hybridMultilevel"/>
    <w:tmpl w:val="95D8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70"/>
    <w:rsid w:val="005E2D89"/>
    <w:rsid w:val="00977E70"/>
    <w:rsid w:val="009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C6A7"/>
  <w15:chartTrackingRefBased/>
  <w15:docId w15:val="{0911EA49-8CFC-4945-BC8A-087C16C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2021-09-14T08:28:00Z</dcterms:created>
  <dcterms:modified xsi:type="dcterms:W3CDTF">2021-10-26T11:44:00Z</dcterms:modified>
</cp:coreProperties>
</file>