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B" w:rsidRPr="005C0215" w:rsidRDefault="000F320B" w:rsidP="005C021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5C0215">
        <w:rPr>
          <w:b/>
          <w:color w:val="000000"/>
          <w:sz w:val="24"/>
          <w:szCs w:val="24"/>
        </w:rPr>
        <w:t>Tytuł, stopień naukowy, imię i nazwisko, katedra</w:t>
      </w:r>
    </w:p>
    <w:p w:rsidR="005C0215" w:rsidRDefault="005C0215" w:rsidP="005C021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5C0215">
        <w:rPr>
          <w:b/>
          <w:color w:val="000000"/>
          <w:sz w:val="24"/>
          <w:szCs w:val="24"/>
        </w:rPr>
        <w:t>Dr. Piotr Prusinowski</w:t>
      </w:r>
    </w:p>
    <w:p w:rsidR="000F320B" w:rsidRDefault="005C0215" w:rsidP="005C021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Katedra Prawa Pracy i Zabezpieczenia Społecznego</w:t>
      </w:r>
    </w:p>
    <w:p w:rsidR="005C0215" w:rsidRPr="005C0215" w:rsidRDefault="005C0215" w:rsidP="005C021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646BC9" w:rsidRPr="001E55F6" w:rsidRDefault="000F320B" w:rsidP="00646BC9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Wykaz dorobku naukowego (chronologicznie)</w:t>
      </w:r>
    </w:p>
    <w:p w:rsidR="00646BC9" w:rsidRPr="001E55F6" w:rsidRDefault="00646BC9" w:rsidP="00646BC9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Publikacje w czasopismach wyróżnionych przez Journal Citation Reports</w:t>
      </w:r>
    </w:p>
    <w:p w:rsidR="001E55F6" w:rsidRPr="00104460" w:rsidRDefault="00646BC9" w:rsidP="00104460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 xml:space="preserve">Publikacje w czasopismach wyróżnionych przez European Reference </w:t>
      </w:r>
      <w:proofErr w:type="spellStart"/>
      <w:r w:rsidRPr="00D20A73">
        <w:rPr>
          <w:b/>
          <w:color w:val="0070C0"/>
          <w:sz w:val="28"/>
          <w:szCs w:val="28"/>
        </w:rPr>
        <w:t>Index</w:t>
      </w:r>
      <w:proofErr w:type="spellEnd"/>
      <w:r w:rsidRPr="00D20A73">
        <w:rPr>
          <w:b/>
          <w:color w:val="0070C0"/>
          <w:sz w:val="28"/>
          <w:szCs w:val="28"/>
        </w:rPr>
        <w:t xml:space="preserve"> for </w:t>
      </w:r>
      <w:proofErr w:type="spellStart"/>
      <w:r w:rsidRPr="00D20A73">
        <w:rPr>
          <w:b/>
          <w:color w:val="0070C0"/>
          <w:sz w:val="28"/>
          <w:szCs w:val="28"/>
        </w:rPr>
        <w:t>the</w:t>
      </w:r>
      <w:proofErr w:type="spellEnd"/>
      <w:r w:rsidRPr="00D20A73">
        <w:rPr>
          <w:b/>
          <w:color w:val="0070C0"/>
          <w:sz w:val="28"/>
          <w:szCs w:val="28"/>
        </w:rPr>
        <w:t xml:space="preserve"> </w:t>
      </w:r>
      <w:proofErr w:type="spellStart"/>
      <w:r w:rsidRPr="00D20A73">
        <w:rPr>
          <w:b/>
          <w:color w:val="0070C0"/>
          <w:sz w:val="28"/>
          <w:szCs w:val="28"/>
        </w:rPr>
        <w:t>Humanities</w:t>
      </w:r>
      <w:proofErr w:type="spellEnd"/>
    </w:p>
    <w:p w:rsidR="00646BC9" w:rsidRDefault="00646BC9" w:rsidP="000F320B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Publikacje w czasopismach recenzowanych wymienionych w wykazie Ministra Nauki i Szkolnictwa Wyższego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left="1156" w:hanging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Absencja chorobowa jako przyczyna wypowiedzenia umowy o pracę przez pracodawcę – w orzecznictwie Sądu Najwyższego, Studia Prawnoustrojowe 2008, nr 8,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left="1156" w:hanging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Kierownictwo pracodawcy i jego znaczenie prawne; Studia Prawnoustrojowe 2008, nr 8,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left="1156" w:hanging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Podstawa wymiaru emerytury ubezpieczonego, który wcześniej miał ustalone prawo do renty; Z zagadnień zabezpieczenia społecznego. Zeszyty Naukowe Uniwersytetu Gdańskiego 2009 nr 1,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Zbieg roszczeń o odszkodowanie z tytułu rozwiązania umowy o pracę; Monitor Prawa Pracy, 2010, nr 8,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Transfer pracowników (art. 23</w:t>
      </w:r>
      <w:r w:rsidRPr="0010446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k.p</w:t>
      </w:r>
      <w:proofErr w:type="spellEnd"/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 xml:space="preserve">.) – wybrane zagadnienia, Studia Prawnoustrojowe, 2010, nr 11, 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M. Kotowska,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 xml:space="preserve">Rozważania na tle wykładni art. 281 pkt. 1 kodeksu pracy – wybrane problemy, Studia Prawnoustrojowe 2010,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Kryteria socjalne a dystrybucja środków zakładowego funduszu świadczeń socjalnych, Monitor Prawa Pracy, 2010, nr 12,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-396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Zmiana okoliczności sprawy w trakcie postępowania przed sądem w sporach z zakresu ubezpieczeń społecznych, Monitor Prawniczy 2011, nr 2,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-396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Delimitacja zatrudnienia pracowniczego i cywilnoprawnego w postępowaniu przed sadem pracy, Przegląd Sądowy, 2011, nr 2,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-396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Relacje zachodzące pomiędzy przesłankami warunkującymi prawo do odprawy emerytalnej i rentowej, Monitor Prawa Pracy 2011, nr 2,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uchwały SN z dnia 18 marca 2010 r., II PZP 1/10, Gdańskie Studia Prawnicze. Przegląd Orzecznictwa, 2011, nr 1,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-2340"/>
        </w:tabs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Obowiązek zapłaty składek a definicja pracownika w prawie ubezpieczeń społecznych, Monitor Prawa Pracy, 2011, nr 6,</w:t>
      </w:r>
    </w:p>
    <w:p w:rsidR="00104460" w:rsidRPr="00104460" w:rsidRDefault="00104460" w:rsidP="00104460">
      <w:pPr>
        <w:numPr>
          <w:ilvl w:val="0"/>
          <w:numId w:val="35"/>
        </w:numPr>
        <w:tabs>
          <w:tab w:val="num" w:pos="-90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Ryczałt za pracę w godzinach nadliczbowych, Praca i Zabezpieczenie Społeczne 2011 nr 7,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Dodatkowe aspekty związane z zatrudnieniem pracowników mobilnych, Monitor Prawa Pracy 2011, nr 10,</w:t>
      </w:r>
    </w:p>
    <w:p w:rsidR="002A0066" w:rsidRPr="002A0066" w:rsidRDefault="00104460" w:rsidP="002A0066">
      <w:pPr>
        <w:numPr>
          <w:ilvl w:val="0"/>
          <w:numId w:val="35"/>
        </w:numPr>
        <w:tabs>
          <w:tab w:val="num" w:pos="-162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Nienazwane umowy zawierane przez strony stosunku pracy, Monitor Prawniczy 2011, nr 20,</w:t>
      </w:r>
    </w:p>
    <w:p w:rsidR="00104460" w:rsidRPr="00104460" w:rsidRDefault="002A0066" w:rsidP="002A0066">
      <w:pPr>
        <w:numPr>
          <w:ilvl w:val="0"/>
          <w:numId w:val="35"/>
        </w:numPr>
        <w:tabs>
          <w:tab w:val="num" w:pos="-1800"/>
        </w:tabs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Wykonywanie pracy zarobkowej jako przyczyna pozbawienia prawa do zasiłku chorobowego; Z Zagadnień Zabezpieczenia Społecznego. Zeszyty Naukowe Uniwersytetu Gdańskiego, 2011, nr 3,</w:t>
      </w:r>
    </w:p>
    <w:p w:rsidR="00104460" w:rsidRPr="00104460" w:rsidRDefault="002A0066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dnia 7 kwietnia 2010 r., II UK 177/09, Orzecznictwo Sądów Polskich 2012, nr 1,</w:t>
      </w:r>
    </w:p>
    <w:p w:rsidR="00104460" w:rsidRPr="00104460" w:rsidRDefault="002A0066" w:rsidP="00104460">
      <w:pPr>
        <w:numPr>
          <w:ilvl w:val="0"/>
          <w:numId w:val="35"/>
        </w:numPr>
        <w:tabs>
          <w:tab w:val="num" w:pos="-126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Nienależne świadczenie wypłacone pracownikowi, Radca Prawny 2012, nr 1,</w:t>
      </w:r>
    </w:p>
    <w:p w:rsidR="00104460" w:rsidRPr="00104460" w:rsidRDefault="002A0066" w:rsidP="00104460">
      <w:pPr>
        <w:numPr>
          <w:ilvl w:val="0"/>
          <w:numId w:val="35"/>
        </w:numPr>
        <w:tabs>
          <w:tab w:val="num" w:pos="-3420"/>
          <w:tab w:val="num" w:pos="108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>Obowiązek prowadzenia ewidencji czasu pracy, Monitor Prawa Pracy 2012, nr 2,</w:t>
      </w:r>
    </w:p>
    <w:p w:rsidR="00104460" w:rsidRPr="00104460" w:rsidRDefault="002A0066" w:rsidP="00104460">
      <w:pPr>
        <w:numPr>
          <w:ilvl w:val="0"/>
          <w:numId w:val="35"/>
        </w:numPr>
        <w:tabs>
          <w:tab w:val="num" w:pos="-3420"/>
          <w:tab w:val="num" w:pos="108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>Zwolnienie z obowiązku świadczenia pracy – czynność jednostronna, czy porozumienie stron, Monitor Prawa Pracy 2012, nr 4,</w:t>
      </w:r>
    </w:p>
    <w:p w:rsidR="00104460" w:rsidRPr="00104460" w:rsidRDefault="002A0066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>Glosa do uchwały SN z dnia 7 lipca 2011, III PZP 3/11, Orzecznictwo Sądów Polskich 2012 nr 4,</w:t>
      </w:r>
    </w:p>
    <w:p w:rsidR="00104460" w:rsidRPr="00104460" w:rsidRDefault="002A0066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>Wina a odpowiedzialność członków zarządu spółek kapitałowych za zobowiązania z tytułu składek na ubezpieczenie społeczne, Monitor Prawniczy 2012, nr 9,</w:t>
      </w:r>
    </w:p>
    <w:p w:rsidR="00104460" w:rsidRPr="00104460" w:rsidRDefault="002A0066" w:rsidP="00104460">
      <w:pPr>
        <w:numPr>
          <w:ilvl w:val="0"/>
          <w:numId w:val="35"/>
        </w:numPr>
        <w:tabs>
          <w:tab w:val="num" w:pos="108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Postępowanie w sprawach o wynagrodzenie za prace w godzinach nadliczbowych a obowiązek prowadzenia ewidencji czasu pracy, Praca i Zabezpieczenie Społeczne 2012, nr 5,</w:t>
      </w:r>
    </w:p>
    <w:p w:rsidR="00104460" w:rsidRPr="00104460" w:rsidRDefault="002A0066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Sytuacja prawna dyrektora szkoły – wybrane zagadnienia, Monitor Prawa Pracy 2012, nr 7,</w:t>
      </w:r>
    </w:p>
    <w:p w:rsidR="002A0066" w:rsidRDefault="002A0066" w:rsidP="002A0066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Pojęcie wynagrodzenia za pracę a dopuszczalność zawarcia ugody sądowej – w świetle orzecznictwa, Praca i Zabezpieczenie Społeczne 2012, nr 7,</w:t>
      </w:r>
    </w:p>
    <w:p w:rsidR="003671B1" w:rsidRDefault="002A0066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0066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Funkcje obowiązku podania konkretnej przyczyny uzasadniającej rozwiązanie umowy o pracę, Monitor Prawa Pracy 2012, nr 9,</w:t>
      </w:r>
    </w:p>
    <w:p w:rsidR="00104460" w:rsidRPr="00104460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Rozpoczęcie prowadzenia pozarolniczej działalności a podleganie rolniczemu ubezpieczeniu społecznemu, Z Zagadnień Zabezpieczenia Społecznego. Zeszyty Naukowe Uniwersytetu Gdańskiego 2012, nr 4,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System dyskrecjonalnej władzy sędziego w sprawach z powództwa pracownika, Praca i Zabezpieczenie Społeczne 2013, nr 1,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5 stycznia 2011 r., III PK 17/10, Orzecznictwo Sądów Polskich, 2013, nr 1,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22 czerwca 2011 r., II PK 3/11, Orzecznictwo Sądów Polskich, 2013, nr 3,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Świadczenia socjalne wypłacane przez pracodawcę a obowiązek opłacenia składki na ubezpieczenie społeczne, Monitor Prawa Pracy 2013, nr 5,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Normalne wynagrodzenie za pracę w godzinach nadliczbowych, Praca i Zabezpieczenie Społeczne 2013, nr 5,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6.03.2011 r. I PK 149/11, Orzecznictwo Sądów Polskich, 2013, nr 7-8,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M. Kotowska,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Środki ochrony osoby pracownika przed sytuacjami patologicznymi występującymi w środowisku pracy – ocena stanu prawnego, Studia Prawnoustrojowe, 2013, nr 20,</w:t>
      </w: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9.01.2012 r., Gdańskie Studia Prawnicze – Przegląd Orzecznictwa 2013, nr 2,</w:t>
      </w:r>
    </w:p>
    <w:p w:rsidR="00104460" w:rsidRPr="00104460" w:rsidRDefault="00104460" w:rsidP="00104460">
      <w:pPr>
        <w:numPr>
          <w:ilvl w:val="0"/>
          <w:numId w:val="35"/>
        </w:numPr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460" w:rsidRPr="00104460" w:rsidRDefault="003671B1" w:rsidP="00104460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Relacja między miejscem i czasem wykonywania pracy – wybrane zagadnienia, Studia z Zakresu Prawa Pracy i Polityki Społecznej 2013,</w:t>
      </w:r>
    </w:p>
    <w:p w:rsidR="00104460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Szczególnie uzasadnione okoliczności a zwrot nienależnie pobranego świadczenia z ubezpieczenia społecznego, Z Zagadnień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abezpieczenia Społecznego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, 2013, nr 5,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Glosa do wyroku SN </w:t>
      </w:r>
      <w:r w:rsidRPr="003671B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3.08.2012 r., I BP 2/12, </w:t>
      </w:r>
      <w:r w:rsidR="00104460" w:rsidRPr="00104460">
        <w:rPr>
          <w:rFonts w:ascii="Times New Roman" w:eastAsia="Times New Roman" w:hAnsi="Times New Roman"/>
          <w:bCs/>
          <w:sz w:val="24"/>
          <w:szCs w:val="24"/>
          <w:lang w:eastAsia="pl-PL"/>
        </w:rPr>
        <w:t>Orzecznictwo Sądów Polskich 2014, nr 1,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Relacje zachodzące między podstawowymi pojęciami ubezpieczenia społecznego rolników, Przegląd Sądowy, 2014, nr 2,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Zasady prawa pracy a zakończenie stosunku pracy – na tle orzecznictwa Sądu Najwyższego, Praca i Zabezpieczenie Społeczne, 2014, nr 3,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Minimalne odszkodowanie przysługujące pracownikowi objętemu zakazem konkurencji po ustaniu stosunku pracy, Monitor Prawa Pracy 2014, nr 4,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12 lutego 2013 r., II PK 166/12, Orzecznictwo Sądów Polskich 2014, nr 9,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18 września 2013 r., II PK 4/13, Gdańskie Studia Prawnicze – Przegląd Orzecznictwa 2014, nr 2,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Pracownicy zarządzający zakładem pracy a szczególnie korzystne uprawnienia przewidziane w porozumieniach zbiorowych prawa pracy – wybrane zagadnienia, Studia z zakresu prawa pracy i polityki socjalnej 2014,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Wyłączenie odpowiedzialności nabywcy gospodarstwa rolnego za zaległe składki na ubezpieczenie społeczne rolników, Z zagadnień zabezpieczenia społecznego 2014, nr 6,</w:t>
      </w:r>
    </w:p>
    <w:p w:rsid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Sekwencyjność nabycia prawa do świadczenia przedemerytalnego, Praca i Zabezpieczenie Społeczne 2014, nr 12,</w:t>
      </w:r>
    </w:p>
    <w:p w:rsidR="003671B1" w:rsidRPr="003671B1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SN z dnia 27 czerwca 2013 r., I PK 28/13, Orzecznictwo Sądów Polskich 2014, nr 12,</w:t>
      </w:r>
    </w:p>
    <w:p w:rsidR="00104460" w:rsidRPr="00104460" w:rsidRDefault="003671B1" w:rsidP="003671B1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="00104460" w:rsidRPr="00104460">
        <w:rPr>
          <w:rFonts w:ascii="Times New Roman" w:eastAsia="Times New Roman" w:hAnsi="Times New Roman"/>
          <w:sz w:val="24"/>
          <w:szCs w:val="24"/>
          <w:lang w:eastAsia="pl-PL"/>
        </w:rPr>
        <w:t>Glosa do wyroku Sądu Najwyższego z dnia 6 lutego 2014 r., II UK 274/13, Gdańskie Studia Prawnicze – Przegląd Orzecznictwa 2015, nr 1</w:t>
      </w:r>
    </w:p>
    <w:p w:rsidR="00104460" w:rsidRDefault="00104460" w:rsidP="00104460">
      <w:pPr>
        <w:spacing w:after="0" w:line="360" w:lineRule="auto"/>
        <w:ind w:left="567"/>
        <w:jc w:val="both"/>
        <w:rPr>
          <w:b/>
          <w:color w:val="0070C0"/>
          <w:sz w:val="28"/>
          <w:szCs w:val="28"/>
        </w:rPr>
      </w:pPr>
    </w:p>
    <w:p w:rsidR="00190139" w:rsidRDefault="00646BC9" w:rsidP="00BD01C9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 xml:space="preserve">Autorstwo (współautorstwo) monografii </w:t>
      </w:r>
    </w:p>
    <w:p w:rsidR="00104460" w:rsidRPr="00104460" w:rsidRDefault="00104460" w:rsidP="00104460">
      <w:pPr>
        <w:numPr>
          <w:ilvl w:val="0"/>
          <w:numId w:val="34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Prusinowski, </w:t>
      </w:r>
      <w:r w:rsidRPr="00104460">
        <w:rPr>
          <w:rFonts w:ascii="Times New Roman" w:hAnsi="Times New Roman"/>
          <w:sz w:val="24"/>
          <w:szCs w:val="24"/>
        </w:rPr>
        <w:t>Umowne podstawy zatrudnienia, Warszawa 2012,</w:t>
      </w:r>
    </w:p>
    <w:p w:rsidR="00104460" w:rsidRPr="00104460" w:rsidRDefault="00104460" w:rsidP="0010446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Prusinowski, </w:t>
      </w:r>
      <w:r w:rsidRPr="00104460">
        <w:rPr>
          <w:rFonts w:ascii="Times New Roman" w:hAnsi="Times New Roman"/>
          <w:sz w:val="24"/>
          <w:szCs w:val="24"/>
        </w:rPr>
        <w:t>Rozstrzyganie indywidualnych sporów ze stosunku pracy, Warszawa 2013,</w:t>
      </w:r>
    </w:p>
    <w:p w:rsidR="00104460" w:rsidRPr="00E830C2" w:rsidRDefault="00104460" w:rsidP="00104460">
      <w:pPr>
        <w:numPr>
          <w:ilvl w:val="0"/>
          <w:numId w:val="3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Prusinowski, </w:t>
      </w:r>
      <w:r w:rsidRPr="00104460">
        <w:rPr>
          <w:rFonts w:ascii="Times New Roman" w:hAnsi="Times New Roman"/>
          <w:sz w:val="24"/>
          <w:szCs w:val="24"/>
        </w:rPr>
        <w:t>Zakaz konkurencji w prawie pracy, Warszawa 2014</w:t>
      </w:r>
    </w:p>
    <w:p w:rsidR="00104460" w:rsidRPr="00BD01C9" w:rsidRDefault="00104460" w:rsidP="00104460">
      <w:pPr>
        <w:spacing w:after="0" w:line="360" w:lineRule="auto"/>
        <w:ind w:left="567"/>
        <w:jc w:val="both"/>
        <w:rPr>
          <w:b/>
          <w:color w:val="0070C0"/>
          <w:sz w:val="28"/>
          <w:szCs w:val="28"/>
        </w:rPr>
      </w:pPr>
    </w:p>
    <w:p w:rsidR="00190139" w:rsidRDefault="00646BC9" w:rsidP="00BD01C9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 xml:space="preserve">Autorstwo (współautorstwo) rozdziału w monografii </w:t>
      </w:r>
    </w:p>
    <w:p w:rsidR="002A0066" w:rsidRDefault="002A0066" w:rsidP="002A0066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Wykorzystywanie prawa tworzenia zakładowych organizacji związkowych i prawa do pełnienia funkcji związkowych do ochrony indywidualnego interesu działacza w świetle orzecznictwa sądowego, (w:) Związkowe przedstawicielstwo pracowników zakładu pracy, red. Z. </w:t>
      </w:r>
      <w:proofErr w:type="spellStart"/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Hajn</w:t>
      </w:r>
      <w:proofErr w:type="spellEnd"/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, Warszawa 2012,</w:t>
      </w:r>
    </w:p>
    <w:p w:rsidR="003671B1" w:rsidRPr="00104460" w:rsidRDefault="003671B1" w:rsidP="002A0066">
      <w:pPr>
        <w:numPr>
          <w:ilvl w:val="0"/>
          <w:numId w:val="35"/>
        </w:numPr>
        <w:spacing w:after="0" w:line="240" w:lineRule="auto"/>
        <w:ind w:left="108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P. Prusinowski, Unikanie opłacania składek na ubezpieczenie społeczne jako postać pracy nieodpłatnej,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w: Nieodpłatna praca, </w:t>
      </w: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Publikacja z Międzynarodowej Konferencji Naukowej „Nieodpłatna praca” </w:t>
      </w:r>
      <w:proofErr w:type="spellStart"/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>Gierłoż</w:t>
      </w:r>
      <w:proofErr w:type="spellEnd"/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 xml:space="preserve"> 29-30 maja 2014 r.,</w:t>
      </w:r>
      <w:r w:rsidR="00A811E3">
        <w:rPr>
          <w:rFonts w:ascii="Times New Roman" w:eastAsia="Times New Roman" w:hAnsi="Times New Roman"/>
          <w:sz w:val="24"/>
          <w:szCs w:val="24"/>
          <w:lang w:eastAsia="pl-PL"/>
        </w:rPr>
        <w:t xml:space="preserve"> red. Z. Majkut, P. Starzyński, G. Majkut.</w:t>
      </w:r>
    </w:p>
    <w:p w:rsidR="002A0066" w:rsidRPr="00BD01C9" w:rsidRDefault="002A0066" w:rsidP="002A0066">
      <w:pPr>
        <w:spacing w:after="0" w:line="360" w:lineRule="auto"/>
        <w:jc w:val="both"/>
        <w:rPr>
          <w:b/>
          <w:color w:val="0070C0"/>
          <w:sz w:val="28"/>
          <w:szCs w:val="28"/>
        </w:rPr>
      </w:pPr>
    </w:p>
    <w:p w:rsidR="00190139" w:rsidRPr="00BD01C9" w:rsidRDefault="00646BC9" w:rsidP="00BD01C9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Redaktor naczelny wieloautorskich monografii (podręczników akademickich)</w:t>
      </w:r>
    </w:p>
    <w:p w:rsidR="00190139" w:rsidRDefault="00646BC9" w:rsidP="00BD01C9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Inne publikacje</w:t>
      </w:r>
    </w:p>
    <w:p w:rsidR="002A0066" w:rsidRDefault="002A0066" w:rsidP="002A0066">
      <w:pPr>
        <w:numPr>
          <w:ilvl w:val="0"/>
          <w:numId w:val="35"/>
        </w:numPr>
        <w:tabs>
          <w:tab w:val="num" w:pos="-162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104460">
        <w:rPr>
          <w:rFonts w:ascii="Times New Roman" w:eastAsia="Times New Roman" w:hAnsi="Times New Roman"/>
          <w:sz w:val="24"/>
          <w:szCs w:val="24"/>
          <w:lang w:eastAsia="pl-PL"/>
        </w:rPr>
        <w:t>Prawo pracy a społeczna odpowiedzialność biznesu, Inspektor Pracy 2011, nr 11,</w:t>
      </w:r>
    </w:p>
    <w:p w:rsidR="002A0066" w:rsidRPr="002A0066" w:rsidRDefault="002A0066" w:rsidP="002A0066">
      <w:pPr>
        <w:numPr>
          <w:ilvl w:val="0"/>
          <w:numId w:val="35"/>
        </w:numPr>
        <w:tabs>
          <w:tab w:val="num" w:pos="-162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2A0066">
        <w:rPr>
          <w:rFonts w:ascii="Times New Roman" w:eastAsia="Times New Roman" w:hAnsi="Times New Roman"/>
          <w:sz w:val="24"/>
          <w:szCs w:val="24"/>
          <w:lang w:eastAsia="pl-PL"/>
        </w:rPr>
        <w:t>Zakładowy Fundusz Świadczeń Socjalnych a obowiązek opłacenia składek na ubezpieczenie społeczne, Gdańsko Łódzkie Roczniki Prawa Pracy i Zabezpieczenia Społecznego, 2011, nr 1,</w:t>
      </w:r>
    </w:p>
    <w:p w:rsidR="002A0066" w:rsidRDefault="002A0066" w:rsidP="002A0066">
      <w:pPr>
        <w:numPr>
          <w:ilvl w:val="0"/>
          <w:numId w:val="35"/>
        </w:numPr>
        <w:tabs>
          <w:tab w:val="num" w:pos="-162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Prusinowski, </w:t>
      </w:r>
      <w:r w:rsidRPr="002A0066">
        <w:rPr>
          <w:rFonts w:ascii="Times New Roman" w:eastAsia="Times New Roman" w:hAnsi="Times New Roman"/>
          <w:sz w:val="24"/>
          <w:szCs w:val="24"/>
          <w:lang w:eastAsia="pl-PL"/>
        </w:rPr>
        <w:t>Ochronny charakter norm o czasie pracy a zatrudnienie u dwóch i więcej pracodawców, Gdańsko - Łódzkie Roczniki Prawa Pracy i Zabezpieczenia Społecznego 2012, nr 2,</w:t>
      </w:r>
    </w:p>
    <w:p w:rsidR="003671B1" w:rsidRPr="00104460" w:rsidRDefault="003671B1" w:rsidP="002A0066">
      <w:pPr>
        <w:numPr>
          <w:ilvl w:val="0"/>
          <w:numId w:val="35"/>
        </w:numPr>
        <w:tabs>
          <w:tab w:val="num" w:pos="-1620"/>
        </w:tabs>
        <w:spacing w:after="0" w:line="240" w:lineRule="auto"/>
        <w:ind w:hanging="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71B1">
        <w:rPr>
          <w:rFonts w:ascii="Times New Roman" w:eastAsia="Times New Roman" w:hAnsi="Times New Roman"/>
          <w:sz w:val="24"/>
          <w:szCs w:val="24"/>
          <w:lang w:eastAsia="pl-PL"/>
        </w:rPr>
        <w:t>Prawo do urlopu dla poratowania zdrowia a rozwiązanie z nauczycielem stosunku pracy na podstawie art. 20 ust 1 Karty Nauczyciela, Gdańsko Łódzkie Roczniki Prawa Pracy i Zabezpieczenia Społecznego, 2013 nr 3,</w:t>
      </w:r>
    </w:p>
    <w:p w:rsidR="002A0066" w:rsidRPr="00BD01C9" w:rsidRDefault="002A0066" w:rsidP="002A0066">
      <w:pPr>
        <w:spacing w:after="0" w:line="360" w:lineRule="auto"/>
        <w:ind w:left="567"/>
        <w:jc w:val="both"/>
        <w:rPr>
          <w:b/>
          <w:color w:val="0070C0"/>
          <w:sz w:val="28"/>
          <w:szCs w:val="28"/>
        </w:rPr>
      </w:pPr>
    </w:p>
    <w:p w:rsidR="00DB312C" w:rsidRPr="00DB312C" w:rsidRDefault="000F320B" w:rsidP="00DB312C">
      <w:pPr>
        <w:numPr>
          <w:ilvl w:val="0"/>
          <w:numId w:val="1"/>
        </w:numPr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Udział w konferencjach naukowych z zaznaczeniem: funkcji organizatora, współorganizatora, formy uczestnictwa (bierna, czynna – tytuł zgłoszonego referatu)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rPr>
          <w:b/>
        </w:rPr>
      </w:pPr>
      <w:r w:rsidRPr="00DB312C">
        <w:t>XVIII Zjazd Katedr i Zakładów Prawa Pracy i Ubezpieczeń Społecznych, Warszawa 26-28 maja 2011,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  <w:rPr>
          <w:b/>
        </w:rPr>
      </w:pPr>
      <w:r w:rsidRPr="00DB312C">
        <w:t>Spotkanie Katedr Prawa Pracy z Uniwersytetów w Łodzi, Gdańsku i Olsztyna, 27 czerwca 2011 Olsztyn, referat pt. „Zakładowy Fundusz Świadczeń Socjalnych a obowiązek opłacenia składek na ubezpieczenie społeczne”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t>XI Regionalna Konferencja Prawa Pracy – Przedstawicielstwo związkowe w zakładzie pracy, 5-7 września 2011 Włodzimierzów, referat pt. „Wykorzystywanie prawa tworzenia zakładowych organizacji związkowych i prawa do pełnienia funkcji związkowych do ochrony indywidualnego interesu działacza w świetle orzecznictwa sądowego”.</w:t>
      </w:r>
    </w:p>
    <w:p w:rsidR="00DB312C" w:rsidRPr="00104460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t>Konferencja zorganizowana przez Państwową Inspekcję Pracy pt. „Poznaj swoje prawa w pracy”, Olsztyn 14 października 2011, referat pt. „Prawo pracy a społeczna odpowiedzialność biznesu”,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  <w:rPr>
          <w:b/>
        </w:rPr>
      </w:pPr>
      <w:r w:rsidRPr="00DB312C">
        <w:t>Spotkanie Katedr Prawa Pracy z Uniwersytetów w Łodzi i Gdańsku, 27 czerwca 2012 Gdańsk,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t>Konwent Prawa Pracy, Warszawa 5 października 2012, wystąpienie pt. Zakaz planowania pracy w godzinach nadliczbowych a gospodarowanie i rozliczanie czasu pracy,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  <w:rPr>
          <w:b/>
        </w:rPr>
      </w:pPr>
      <w:r w:rsidRPr="00DB312C">
        <w:t>XIX Zjazd Katedr Prawa Pracy i Ubezpieczeń Społecznych, Poznań w dniach 15-17 maja 2013 r.,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lastRenderedPageBreak/>
        <w:t>Wrześniowe spotkania z prawem pracy, Iłki w dniach 13-15 września 2013 r., przeprowadzenie wykładu merytorycznego pt. Umowy śmieciowe – do Kodeksu, czy do kosza”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  <w:rPr>
          <w:b/>
        </w:rPr>
      </w:pPr>
      <w:r w:rsidRPr="00DB312C">
        <w:t xml:space="preserve">Międzynarodowa Konferencja Naukowa „Nieodpłatna praca”, </w:t>
      </w:r>
      <w:proofErr w:type="spellStart"/>
      <w:r w:rsidRPr="00DB312C">
        <w:t>Gierłoż</w:t>
      </w:r>
      <w:proofErr w:type="spellEnd"/>
      <w:r w:rsidRPr="00DB312C">
        <w:t xml:space="preserve"> w dniach 29-30 maja 2014 r., - prowadzenie panelu tematycznego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t xml:space="preserve">II Wrześniowe spotkania z prawem pracy, Dzierżązna w dniach 12-14 września 2014 r., 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</w:pPr>
      <w:r w:rsidRPr="00DB312C">
        <w:t>V Seminarium Szubertowskie, Łódź 28 listopada 2014.</w:t>
      </w:r>
    </w:p>
    <w:p w:rsidR="00DB312C" w:rsidRPr="00DB312C" w:rsidRDefault="00DB312C" w:rsidP="00DB312C">
      <w:pPr>
        <w:pStyle w:val="Akapitzlist"/>
        <w:numPr>
          <w:ilvl w:val="0"/>
          <w:numId w:val="33"/>
        </w:numPr>
        <w:jc w:val="both"/>
        <w:rPr>
          <w:b/>
        </w:rPr>
      </w:pPr>
      <w:r w:rsidRPr="00DB312C">
        <w:t>Ogólnopolska konferencja naukowa „Umowy cywilnoprawne w ubezpieczeniach społecznych” Toruń, 20 lutego 2015 r. referat pt. „Uprawnienie sądu ubezpieczeń społecznych w zakresie kwalifikacji rodzaju prawnego zatrudnienia”.</w:t>
      </w:r>
    </w:p>
    <w:p w:rsidR="00DB312C" w:rsidRPr="00BD01C9" w:rsidRDefault="00DB312C" w:rsidP="00DB312C">
      <w:pPr>
        <w:spacing w:after="0" w:line="360" w:lineRule="auto"/>
        <w:ind w:left="1287"/>
        <w:jc w:val="both"/>
        <w:rPr>
          <w:b/>
          <w:color w:val="0070C0"/>
          <w:sz w:val="28"/>
          <w:szCs w:val="28"/>
        </w:rPr>
      </w:pPr>
    </w:p>
    <w:p w:rsidR="00646BC9" w:rsidRDefault="00646BC9" w:rsidP="00646BC9">
      <w:pPr>
        <w:pStyle w:val="Akapitzlist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Kształcenie kadr naukowych (chronologicznie)</w:t>
      </w:r>
    </w:p>
    <w:p w:rsidR="00190139" w:rsidRPr="00D20A73" w:rsidRDefault="00190139" w:rsidP="00190139">
      <w:pPr>
        <w:pStyle w:val="Akapitzlist"/>
        <w:ind w:left="1287"/>
        <w:rPr>
          <w:b/>
          <w:color w:val="0070C0"/>
          <w:sz w:val="28"/>
          <w:szCs w:val="28"/>
        </w:rPr>
      </w:pPr>
    </w:p>
    <w:p w:rsidR="00646BC9" w:rsidRDefault="00646BC9" w:rsidP="00190139">
      <w:pPr>
        <w:pStyle w:val="Akapitzlist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D20A73">
        <w:rPr>
          <w:b/>
          <w:color w:val="0070C0"/>
          <w:sz w:val="28"/>
          <w:szCs w:val="28"/>
        </w:rPr>
        <w:t>Podnoszenie kwalifikacji</w:t>
      </w:r>
    </w:p>
    <w:p w:rsidR="00190139" w:rsidRDefault="00190139" w:rsidP="00190139">
      <w:pPr>
        <w:pStyle w:val="Akapitzlist"/>
        <w:ind w:left="0"/>
        <w:rPr>
          <w:b/>
          <w:color w:val="0070C0"/>
          <w:sz w:val="28"/>
          <w:szCs w:val="28"/>
        </w:rPr>
      </w:pPr>
    </w:p>
    <w:p w:rsidR="000F320B" w:rsidRDefault="000F320B" w:rsidP="00190139">
      <w:pPr>
        <w:pStyle w:val="Akapitzlist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190139">
        <w:rPr>
          <w:b/>
          <w:color w:val="0070C0"/>
          <w:sz w:val="28"/>
          <w:szCs w:val="28"/>
        </w:rPr>
        <w:t>Inne formy aktywności</w:t>
      </w:r>
    </w:p>
    <w:p w:rsidR="00190139" w:rsidRPr="00190139" w:rsidRDefault="00190139" w:rsidP="00BD01C9">
      <w:pPr>
        <w:rPr>
          <w:rFonts w:ascii="Times New Roman" w:hAnsi="Times New Roman"/>
        </w:rPr>
      </w:pPr>
    </w:p>
    <w:p w:rsidR="006F780E" w:rsidRDefault="006F780E" w:rsidP="00190139">
      <w:pPr>
        <w:pStyle w:val="Akapitzlist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190139">
        <w:rPr>
          <w:b/>
          <w:color w:val="0070C0"/>
          <w:sz w:val="28"/>
          <w:szCs w:val="28"/>
        </w:rPr>
        <w:t>Nagrody i wyróżnienia</w:t>
      </w:r>
    </w:p>
    <w:p w:rsidR="00190139" w:rsidRPr="00190139" w:rsidRDefault="00190139" w:rsidP="00190139">
      <w:pPr>
        <w:pStyle w:val="Akapitzlist"/>
        <w:ind w:left="1287"/>
        <w:rPr>
          <w:b/>
          <w:color w:val="0070C0"/>
          <w:sz w:val="28"/>
          <w:szCs w:val="28"/>
        </w:rPr>
      </w:pPr>
    </w:p>
    <w:p w:rsidR="000F320B" w:rsidRPr="000D30F8" w:rsidRDefault="000F320B" w:rsidP="00880E46">
      <w:pPr>
        <w:spacing w:line="360" w:lineRule="auto"/>
        <w:ind w:left="720"/>
        <w:jc w:val="both"/>
        <w:rPr>
          <w:color w:val="000000"/>
        </w:rPr>
      </w:pPr>
    </w:p>
    <w:sectPr w:rsidR="000F320B" w:rsidRPr="000D30F8" w:rsidSect="0043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E20"/>
    <w:multiLevelType w:val="hybridMultilevel"/>
    <w:tmpl w:val="018232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0788D"/>
    <w:multiLevelType w:val="hybridMultilevel"/>
    <w:tmpl w:val="28022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026"/>
    <w:multiLevelType w:val="hybridMultilevel"/>
    <w:tmpl w:val="CC4C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B96"/>
    <w:multiLevelType w:val="hybridMultilevel"/>
    <w:tmpl w:val="4B0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03CA5"/>
    <w:multiLevelType w:val="hybridMultilevel"/>
    <w:tmpl w:val="60EA60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812BF0"/>
    <w:multiLevelType w:val="hybridMultilevel"/>
    <w:tmpl w:val="438005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A46F17"/>
    <w:multiLevelType w:val="hybridMultilevel"/>
    <w:tmpl w:val="AD58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6102"/>
    <w:multiLevelType w:val="hybridMultilevel"/>
    <w:tmpl w:val="A29A787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C7B6F"/>
    <w:multiLevelType w:val="hybridMultilevel"/>
    <w:tmpl w:val="63E4A35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9452C99"/>
    <w:multiLevelType w:val="hybridMultilevel"/>
    <w:tmpl w:val="3C62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512E6"/>
    <w:multiLevelType w:val="hybridMultilevel"/>
    <w:tmpl w:val="8750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70060"/>
    <w:multiLevelType w:val="hybridMultilevel"/>
    <w:tmpl w:val="11DA53B4"/>
    <w:lvl w:ilvl="0" w:tplc="309A01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40788B"/>
    <w:multiLevelType w:val="hybridMultilevel"/>
    <w:tmpl w:val="74AEA5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E3F3F"/>
    <w:multiLevelType w:val="hybridMultilevel"/>
    <w:tmpl w:val="364E98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9702CE"/>
    <w:multiLevelType w:val="hybridMultilevel"/>
    <w:tmpl w:val="9E64E9C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4781A"/>
    <w:multiLevelType w:val="hybridMultilevel"/>
    <w:tmpl w:val="AAF651D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D0555"/>
    <w:multiLevelType w:val="hybridMultilevel"/>
    <w:tmpl w:val="93A4A722"/>
    <w:lvl w:ilvl="0" w:tplc="0B3407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93942"/>
    <w:multiLevelType w:val="hybridMultilevel"/>
    <w:tmpl w:val="AD58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9642F"/>
    <w:multiLevelType w:val="hybridMultilevel"/>
    <w:tmpl w:val="32F0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534B1"/>
    <w:multiLevelType w:val="hybridMultilevel"/>
    <w:tmpl w:val="524C8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576C"/>
    <w:multiLevelType w:val="hybridMultilevel"/>
    <w:tmpl w:val="7376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9B4721"/>
    <w:multiLevelType w:val="hybridMultilevel"/>
    <w:tmpl w:val="14D8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000A5"/>
    <w:multiLevelType w:val="hybridMultilevel"/>
    <w:tmpl w:val="AD80A17E"/>
    <w:lvl w:ilvl="0" w:tplc="F8800C2A">
      <w:start w:val="1"/>
      <w:numFmt w:val="bullet"/>
      <w:lvlText w:val=""/>
      <w:lvlJc w:val="left"/>
      <w:pPr>
        <w:tabs>
          <w:tab w:val="num" w:pos="1158"/>
        </w:tabs>
        <w:ind w:left="1158" w:firstLine="100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8450D"/>
    <w:multiLevelType w:val="hybridMultilevel"/>
    <w:tmpl w:val="206C361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559D3C9F"/>
    <w:multiLevelType w:val="hybridMultilevel"/>
    <w:tmpl w:val="496AE5CC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56AC5D70"/>
    <w:multiLevelType w:val="hybridMultilevel"/>
    <w:tmpl w:val="A79E0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71732"/>
    <w:multiLevelType w:val="hybridMultilevel"/>
    <w:tmpl w:val="1AE41B42"/>
    <w:lvl w:ilvl="0" w:tplc="041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32569"/>
    <w:multiLevelType w:val="hybridMultilevel"/>
    <w:tmpl w:val="2DFC64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D2178A"/>
    <w:multiLevelType w:val="hybridMultilevel"/>
    <w:tmpl w:val="7CBE19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5530B1"/>
    <w:multiLevelType w:val="hybridMultilevel"/>
    <w:tmpl w:val="4CF26B3E"/>
    <w:lvl w:ilvl="0" w:tplc="5C8281F4">
      <w:start w:val="1"/>
      <w:numFmt w:val="bullet"/>
      <w:lvlText w:val=""/>
      <w:lvlJc w:val="left"/>
      <w:pPr>
        <w:tabs>
          <w:tab w:val="num" w:pos="1158"/>
        </w:tabs>
        <w:ind w:left="1158" w:firstLine="1002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13238"/>
    <w:multiLevelType w:val="hybridMultilevel"/>
    <w:tmpl w:val="A2FC4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23B26"/>
    <w:multiLevelType w:val="hybridMultilevel"/>
    <w:tmpl w:val="C362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31A4F"/>
    <w:multiLevelType w:val="hybridMultilevel"/>
    <w:tmpl w:val="AD58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C4C35"/>
    <w:multiLevelType w:val="hybridMultilevel"/>
    <w:tmpl w:val="91367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14262"/>
    <w:multiLevelType w:val="hybridMultilevel"/>
    <w:tmpl w:val="B1DA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C6E62"/>
    <w:multiLevelType w:val="hybridMultilevel"/>
    <w:tmpl w:val="EC66A508"/>
    <w:lvl w:ilvl="0" w:tplc="F8800C2A">
      <w:start w:val="1"/>
      <w:numFmt w:val="bullet"/>
      <w:lvlText w:val=""/>
      <w:lvlJc w:val="left"/>
      <w:pPr>
        <w:tabs>
          <w:tab w:val="num" w:pos="1158"/>
        </w:tabs>
        <w:ind w:left="1158" w:firstLine="100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B2156"/>
    <w:multiLevelType w:val="hybridMultilevel"/>
    <w:tmpl w:val="1A6E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3"/>
  </w:num>
  <w:num w:numId="5">
    <w:abstractNumId w:val="11"/>
  </w:num>
  <w:num w:numId="6">
    <w:abstractNumId w:val="1"/>
  </w:num>
  <w:num w:numId="7">
    <w:abstractNumId w:val="0"/>
  </w:num>
  <w:num w:numId="8">
    <w:abstractNumId w:val="27"/>
  </w:num>
  <w:num w:numId="9">
    <w:abstractNumId w:val="3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2"/>
  </w:num>
  <w:num w:numId="15">
    <w:abstractNumId w:val="9"/>
  </w:num>
  <w:num w:numId="16">
    <w:abstractNumId w:val="31"/>
  </w:num>
  <w:num w:numId="17">
    <w:abstractNumId w:val="28"/>
  </w:num>
  <w:num w:numId="18">
    <w:abstractNumId w:val="19"/>
  </w:num>
  <w:num w:numId="19">
    <w:abstractNumId w:val="30"/>
  </w:num>
  <w:num w:numId="20">
    <w:abstractNumId w:val="17"/>
  </w:num>
  <w:num w:numId="21">
    <w:abstractNumId w:val="18"/>
  </w:num>
  <w:num w:numId="22">
    <w:abstractNumId w:val="33"/>
  </w:num>
  <w:num w:numId="23">
    <w:abstractNumId w:val="34"/>
  </w:num>
  <w:num w:numId="24">
    <w:abstractNumId w:val="26"/>
  </w:num>
  <w:num w:numId="25">
    <w:abstractNumId w:val="6"/>
  </w:num>
  <w:num w:numId="26">
    <w:abstractNumId w:val="32"/>
  </w:num>
  <w:num w:numId="27">
    <w:abstractNumId w:val="22"/>
  </w:num>
  <w:num w:numId="28">
    <w:abstractNumId w:val="35"/>
  </w:num>
  <w:num w:numId="29">
    <w:abstractNumId w:val="15"/>
  </w:num>
  <w:num w:numId="30">
    <w:abstractNumId w:val="12"/>
  </w:num>
  <w:num w:numId="31">
    <w:abstractNumId w:val="36"/>
  </w:num>
  <w:num w:numId="32">
    <w:abstractNumId w:val="21"/>
  </w:num>
  <w:num w:numId="33">
    <w:abstractNumId w:val="25"/>
  </w:num>
  <w:num w:numId="34">
    <w:abstractNumId w:val="14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DDC"/>
    <w:rsid w:val="000203E7"/>
    <w:rsid w:val="000A5A50"/>
    <w:rsid w:val="000D30F8"/>
    <w:rsid w:val="000F320B"/>
    <w:rsid w:val="00104460"/>
    <w:rsid w:val="00142E28"/>
    <w:rsid w:val="00170C07"/>
    <w:rsid w:val="00190139"/>
    <w:rsid w:val="001E55F6"/>
    <w:rsid w:val="00264631"/>
    <w:rsid w:val="002723BF"/>
    <w:rsid w:val="002A0066"/>
    <w:rsid w:val="00357E57"/>
    <w:rsid w:val="003671B1"/>
    <w:rsid w:val="00383D2F"/>
    <w:rsid w:val="003E3389"/>
    <w:rsid w:val="00433745"/>
    <w:rsid w:val="004703C9"/>
    <w:rsid w:val="004A5D3E"/>
    <w:rsid w:val="004B5ED6"/>
    <w:rsid w:val="004D72EE"/>
    <w:rsid w:val="004F5C19"/>
    <w:rsid w:val="00530C86"/>
    <w:rsid w:val="005C0215"/>
    <w:rsid w:val="00646BC9"/>
    <w:rsid w:val="006B260C"/>
    <w:rsid w:val="006F780E"/>
    <w:rsid w:val="007519B2"/>
    <w:rsid w:val="007534C2"/>
    <w:rsid w:val="00794DDC"/>
    <w:rsid w:val="00806C4C"/>
    <w:rsid w:val="008139E2"/>
    <w:rsid w:val="00851ECD"/>
    <w:rsid w:val="00880E46"/>
    <w:rsid w:val="00940CF9"/>
    <w:rsid w:val="00960B72"/>
    <w:rsid w:val="0096636A"/>
    <w:rsid w:val="009A6E10"/>
    <w:rsid w:val="009C4B17"/>
    <w:rsid w:val="00A00A19"/>
    <w:rsid w:val="00A51D3D"/>
    <w:rsid w:val="00A811E3"/>
    <w:rsid w:val="00A84505"/>
    <w:rsid w:val="00AF49AF"/>
    <w:rsid w:val="00B11B12"/>
    <w:rsid w:val="00B84810"/>
    <w:rsid w:val="00BD01C9"/>
    <w:rsid w:val="00C555E3"/>
    <w:rsid w:val="00CF4E33"/>
    <w:rsid w:val="00D11C1A"/>
    <w:rsid w:val="00D91C66"/>
    <w:rsid w:val="00DA2D06"/>
    <w:rsid w:val="00DB312C"/>
    <w:rsid w:val="00DF166A"/>
    <w:rsid w:val="00E93E1D"/>
    <w:rsid w:val="00F26D24"/>
    <w:rsid w:val="00FD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9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D2B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57E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57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378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8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096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WINDT_09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ADS</cp:lastModifiedBy>
  <cp:revision>2</cp:revision>
  <dcterms:created xsi:type="dcterms:W3CDTF">2015-04-08T06:28:00Z</dcterms:created>
  <dcterms:modified xsi:type="dcterms:W3CDTF">2015-04-08T06:28:00Z</dcterms:modified>
</cp:coreProperties>
</file>