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B" w:rsidRPr="00574D39" w:rsidRDefault="00574D39" w:rsidP="007711C1">
      <w:pPr>
        <w:spacing w:before="120" w:after="120" w:line="360" w:lineRule="auto"/>
        <w:jc w:val="both"/>
        <w:rPr>
          <w:rFonts w:ascii="Times New Roman" w:hAnsi="Times New Roman"/>
          <w:b/>
          <w:sz w:val="28"/>
        </w:rPr>
      </w:pPr>
      <w:r w:rsidRPr="00574D39">
        <w:rPr>
          <w:rFonts w:ascii="Times New Roman" w:hAnsi="Times New Roman"/>
          <w:b/>
          <w:sz w:val="28"/>
        </w:rPr>
        <w:t>Dr Katarzyna Jaworska</w:t>
      </w:r>
    </w:p>
    <w:p w:rsidR="00574D39" w:rsidRPr="00574D39" w:rsidRDefault="00574D39" w:rsidP="007711C1">
      <w:pPr>
        <w:spacing w:before="120" w:after="120" w:line="360" w:lineRule="auto"/>
        <w:jc w:val="both"/>
        <w:rPr>
          <w:rFonts w:ascii="Times New Roman" w:hAnsi="Times New Roman"/>
          <w:b/>
          <w:sz w:val="28"/>
        </w:rPr>
      </w:pPr>
      <w:r w:rsidRPr="00574D39">
        <w:rPr>
          <w:rFonts w:ascii="Times New Roman" w:hAnsi="Times New Roman"/>
          <w:b/>
          <w:sz w:val="28"/>
        </w:rPr>
        <w:t xml:space="preserve">Katedra Prawa Pracy i Zabezpieczenia Społecznego </w:t>
      </w:r>
    </w:p>
    <w:p w:rsidR="00574D39" w:rsidRPr="00574D39" w:rsidRDefault="00574D39" w:rsidP="007711C1">
      <w:pPr>
        <w:spacing w:before="120" w:after="120" w:line="360" w:lineRule="auto"/>
        <w:jc w:val="both"/>
        <w:rPr>
          <w:rFonts w:ascii="Times New Roman" w:hAnsi="Times New Roman"/>
          <w:b/>
          <w:sz w:val="24"/>
        </w:rPr>
      </w:pPr>
    </w:p>
    <w:p w:rsidR="001E55F6" w:rsidRPr="00574D39" w:rsidRDefault="00574D39" w:rsidP="007711C1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Dorobek naukowy (wybrane pozycje)</w:t>
      </w:r>
    </w:p>
    <w:p w:rsidR="00646BC9" w:rsidRPr="00574D39" w:rsidRDefault="00646BC9" w:rsidP="007711C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4D39">
        <w:rPr>
          <w:rFonts w:ascii="Times New Roman" w:hAnsi="Times New Roman"/>
          <w:b/>
          <w:sz w:val="28"/>
          <w:szCs w:val="28"/>
        </w:rPr>
        <w:t>Publikacje w czasopismach recenzowanych wymienionych w wykazie Ministra Nauki i Szkolnictwa Wyższego</w:t>
      </w:r>
    </w:p>
    <w:p w:rsidR="00574D39" w:rsidRPr="00574D39" w:rsidRDefault="00574D39" w:rsidP="007711C1">
      <w:pPr>
        <w:pStyle w:val="Akapitzlist"/>
        <w:numPr>
          <w:ilvl w:val="0"/>
          <w:numId w:val="28"/>
        </w:numPr>
        <w:spacing w:before="120" w:after="120" w:line="360" w:lineRule="auto"/>
        <w:ind w:left="1701"/>
        <w:jc w:val="both"/>
      </w:pPr>
      <w:r w:rsidRPr="00574D39">
        <w:t xml:space="preserve">Jaworska K., </w:t>
      </w:r>
      <w:r w:rsidRPr="00574D39">
        <w:rPr>
          <w:i/>
        </w:rPr>
        <w:t>Spółdzielnie socjalne</w:t>
      </w:r>
      <w:r w:rsidRPr="00574D39">
        <w:t>, Studia Prawnoustrojowe 2010, nr 11, s. 341</w:t>
      </w:r>
      <w:r w:rsidR="00BD4D72">
        <w:t>.</w:t>
      </w:r>
    </w:p>
    <w:p w:rsidR="00574D39" w:rsidRPr="00574D39" w:rsidRDefault="00574D39" w:rsidP="007711C1">
      <w:pPr>
        <w:pStyle w:val="Akapitzlist"/>
        <w:numPr>
          <w:ilvl w:val="0"/>
          <w:numId w:val="28"/>
        </w:numPr>
        <w:spacing w:before="120" w:after="120" w:line="360" w:lineRule="auto"/>
        <w:ind w:left="1701"/>
        <w:contextualSpacing/>
        <w:jc w:val="both"/>
      </w:pPr>
      <w:r w:rsidRPr="00574D39">
        <w:t xml:space="preserve">Jaworska K., </w:t>
      </w:r>
      <w:r w:rsidRPr="00574D39">
        <w:rPr>
          <w:i/>
        </w:rPr>
        <w:t>Koordynacja świadczeń z tytułu bezrobocia w świetle Rozporządzenia nr 883/2004</w:t>
      </w:r>
      <w:r w:rsidRPr="00574D39">
        <w:t>, Z zagadnień zabezpieczenia społecznego 2010, nr 2, s. 25</w:t>
      </w:r>
      <w:r w:rsidR="00BD4D72">
        <w:t>.</w:t>
      </w:r>
    </w:p>
    <w:p w:rsidR="00574D39" w:rsidRPr="00574D39" w:rsidRDefault="00574D39" w:rsidP="007711C1">
      <w:pPr>
        <w:numPr>
          <w:ilvl w:val="0"/>
          <w:numId w:val="28"/>
        </w:numPr>
        <w:spacing w:before="120" w:after="12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74D39">
        <w:rPr>
          <w:rStyle w:val="apple-style-span"/>
          <w:rFonts w:ascii="Times New Roman" w:hAnsi="Times New Roman"/>
          <w:sz w:val="24"/>
          <w:szCs w:val="24"/>
        </w:rPr>
        <w:t>Jaworska, K.,</w:t>
      </w:r>
      <w:r w:rsidRPr="00574D39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574D39">
        <w:rPr>
          <w:rStyle w:val="apple-style-span"/>
          <w:rFonts w:ascii="Times New Roman" w:hAnsi="Times New Roman"/>
          <w:i/>
          <w:sz w:val="24"/>
          <w:szCs w:val="24"/>
        </w:rPr>
        <w:t>Prawo do p</w:t>
      </w:r>
      <w:r w:rsidRPr="00574D39">
        <w:rPr>
          <w:rFonts w:ascii="Times New Roman" w:hAnsi="Times New Roman"/>
          <w:i/>
          <w:sz w:val="24"/>
          <w:szCs w:val="24"/>
        </w:rPr>
        <w:t>odnoszenia kwalifikacji zawodowych przez pracowników po orzeczeniu Trybunału Konstytucyjnego z dnia 31 marca 2009 r</w:t>
      </w:r>
      <w:r w:rsidRPr="00574D39">
        <w:rPr>
          <w:rFonts w:ascii="Times New Roman" w:hAnsi="Times New Roman"/>
          <w:sz w:val="24"/>
          <w:szCs w:val="24"/>
        </w:rPr>
        <w:t>., Studia Prawnoustrojowe 2013, nr 20, s 143.</w:t>
      </w:r>
    </w:p>
    <w:p w:rsidR="00574D39" w:rsidRPr="00574D39" w:rsidRDefault="00574D39" w:rsidP="007711C1">
      <w:pPr>
        <w:numPr>
          <w:ilvl w:val="0"/>
          <w:numId w:val="28"/>
        </w:numPr>
        <w:spacing w:before="120" w:after="12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</w:rPr>
        <w:t>Wieloletnia umowa na czas określony a klauzula wcześniejszego jej rozwiązania. Glosa do Wyroku SN z dnia 14 czerwca 2012 r., I PK 222/11</w:t>
      </w:r>
      <w:r w:rsidRPr="00574D39">
        <w:rPr>
          <w:rFonts w:ascii="Times New Roman" w:hAnsi="Times New Roman"/>
          <w:sz w:val="24"/>
          <w:szCs w:val="24"/>
        </w:rPr>
        <w:t xml:space="preserve">, Gdańskich Studiów Prawniczych – Przegląd Orzecznictwa 2013, nr 2, s. 137. </w:t>
      </w:r>
    </w:p>
    <w:p w:rsidR="00574D39" w:rsidRPr="007711C1" w:rsidRDefault="00574D39" w:rsidP="007711C1">
      <w:pPr>
        <w:numPr>
          <w:ilvl w:val="0"/>
          <w:numId w:val="28"/>
        </w:numPr>
        <w:spacing w:before="120" w:after="120"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</w:rPr>
        <w:t>Standardy Międzynarodowej Organizacji Pracy i Rady Europy a polski system zabezpieczenia społecznego na wypadek bezrobocia</w:t>
      </w:r>
      <w:r w:rsidRPr="00574D39">
        <w:rPr>
          <w:rFonts w:ascii="Times New Roman" w:hAnsi="Times New Roman"/>
          <w:sz w:val="24"/>
          <w:szCs w:val="24"/>
        </w:rPr>
        <w:t>, Studia Prawnoustrojowe 2014, nr 24, s. 161.</w:t>
      </w:r>
    </w:p>
    <w:p w:rsidR="00190139" w:rsidRPr="00574D39" w:rsidRDefault="00574D39" w:rsidP="007711C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Autorstwo </w:t>
      </w:r>
      <w:r w:rsidR="00646BC9" w:rsidRPr="00574D39">
        <w:rPr>
          <w:rFonts w:ascii="Times New Roman" w:hAnsi="Times New Roman"/>
          <w:b/>
          <w:sz w:val="28"/>
          <w:szCs w:val="28"/>
        </w:rPr>
        <w:t xml:space="preserve">rozdziału w monografii </w:t>
      </w:r>
    </w:p>
    <w:p w:rsidR="00574D39" w:rsidRPr="00574D39" w:rsidRDefault="00574D39" w:rsidP="007711C1">
      <w:pPr>
        <w:numPr>
          <w:ilvl w:val="0"/>
          <w:numId w:val="33"/>
        </w:numPr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  <w:lang w:val="en-US"/>
        </w:rPr>
      </w:pPr>
      <w:r w:rsidRPr="00574D39">
        <w:rPr>
          <w:rFonts w:ascii="Times New Roman" w:hAnsi="Times New Roman"/>
          <w:sz w:val="24"/>
          <w:szCs w:val="24"/>
          <w:lang w:val="en-US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  <w:lang w:val="en-US"/>
        </w:rPr>
        <w:t>Social Exclusion within Polish Legislative Initiatives, (</w:t>
      </w:r>
      <w:r w:rsidRPr="00574D39">
        <w:rPr>
          <w:rFonts w:ascii="Times New Roman" w:hAnsi="Times New Roman"/>
          <w:sz w:val="24"/>
          <w:szCs w:val="24"/>
          <w:lang w:val="en-US"/>
        </w:rPr>
        <w:t xml:space="preserve">w:) </w:t>
      </w:r>
      <w:r w:rsidRPr="00574D39">
        <w:rPr>
          <w:rFonts w:ascii="Times New Roman" w:hAnsi="Times New Roman"/>
          <w:i/>
          <w:sz w:val="24"/>
          <w:szCs w:val="24"/>
          <w:lang w:val="en-US"/>
        </w:rPr>
        <w:t>Human rights, Spiritual Values and Global Economy</w:t>
      </w:r>
      <w:r w:rsidRPr="00574D39">
        <w:rPr>
          <w:rFonts w:ascii="Times New Roman" w:hAnsi="Times New Roman"/>
          <w:sz w:val="24"/>
          <w:szCs w:val="24"/>
          <w:lang w:val="en-US"/>
        </w:rPr>
        <w:t>, B. Sitek, J. Sz</w:t>
      </w:r>
      <w:r w:rsidR="00BD4D72">
        <w:rPr>
          <w:rFonts w:ascii="Times New Roman" w:hAnsi="Times New Roman"/>
          <w:sz w:val="24"/>
          <w:szCs w:val="24"/>
          <w:lang w:val="en-US"/>
        </w:rPr>
        <w:t>cz</w:t>
      </w:r>
      <w:r w:rsidRPr="00574D39">
        <w:rPr>
          <w:rFonts w:ascii="Times New Roman" w:hAnsi="Times New Roman"/>
          <w:sz w:val="24"/>
          <w:szCs w:val="24"/>
          <w:lang w:val="en-US"/>
        </w:rPr>
        <w:t xml:space="preserve">erbowski, A. Bauknecht, G. Dammacco (red.), </w:t>
      </w:r>
      <w:r w:rsidR="00BD4D72">
        <w:rPr>
          <w:rFonts w:ascii="Times New Roman" w:hAnsi="Times New Roman"/>
          <w:sz w:val="24"/>
          <w:szCs w:val="24"/>
          <w:lang w:val="en-US"/>
        </w:rPr>
        <w:t>South Jordan 2011, s. 454.</w:t>
      </w:r>
    </w:p>
    <w:p w:rsidR="00574D39" w:rsidRDefault="00574D39" w:rsidP="007711C1">
      <w:pPr>
        <w:numPr>
          <w:ilvl w:val="0"/>
          <w:numId w:val="33"/>
        </w:numPr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K, </w:t>
      </w:r>
      <w:r w:rsidRPr="00574D39">
        <w:rPr>
          <w:rFonts w:ascii="Times New Roman" w:hAnsi="Times New Roman"/>
          <w:i/>
          <w:sz w:val="24"/>
          <w:szCs w:val="24"/>
        </w:rPr>
        <w:t>Prawna konstrukcja pojęcia bezrobotnego</w:t>
      </w:r>
      <w:r w:rsidRPr="00574D39">
        <w:rPr>
          <w:rFonts w:ascii="Times New Roman" w:hAnsi="Times New Roman"/>
          <w:sz w:val="24"/>
          <w:szCs w:val="24"/>
        </w:rPr>
        <w:t xml:space="preserve">, (w:) </w:t>
      </w:r>
      <w:r w:rsidRPr="00574D39">
        <w:rPr>
          <w:rFonts w:ascii="Times New Roman" w:hAnsi="Times New Roman"/>
          <w:i/>
          <w:sz w:val="24"/>
          <w:szCs w:val="24"/>
        </w:rPr>
        <w:t>Podmiotowość w prawie</w:t>
      </w:r>
      <w:r w:rsidRPr="00574D39">
        <w:rPr>
          <w:rFonts w:ascii="Times New Roman" w:hAnsi="Times New Roman"/>
          <w:sz w:val="24"/>
          <w:szCs w:val="24"/>
        </w:rPr>
        <w:t>, B. Sitek, M. Sz</w:t>
      </w:r>
      <w:r w:rsidR="00BD4D72">
        <w:rPr>
          <w:rFonts w:ascii="Times New Roman" w:hAnsi="Times New Roman"/>
          <w:sz w:val="24"/>
          <w:szCs w:val="24"/>
        </w:rPr>
        <w:t>wejkowska (red.), Olsztyn 2012, s. 47.</w:t>
      </w:r>
    </w:p>
    <w:p w:rsidR="00BD4D72" w:rsidRPr="00BD4D72" w:rsidRDefault="00BD4D72" w:rsidP="007711C1">
      <w:pPr>
        <w:numPr>
          <w:ilvl w:val="0"/>
          <w:numId w:val="33"/>
        </w:numPr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</w:rPr>
      </w:pPr>
      <w:r w:rsidRPr="00BD4D72">
        <w:rPr>
          <w:rFonts w:ascii="Times New Roman" w:hAnsi="Times New Roman"/>
          <w:sz w:val="24"/>
          <w:szCs w:val="24"/>
        </w:rPr>
        <w:lastRenderedPageBreak/>
        <w:t xml:space="preserve">Jaworska, K., </w:t>
      </w:r>
      <w:r w:rsidRPr="00BD4D72">
        <w:rPr>
          <w:rStyle w:val="apple-style-span"/>
          <w:rFonts w:ascii="Times New Roman" w:hAnsi="Times New Roman"/>
          <w:i/>
          <w:color w:val="000000" w:themeColor="text1"/>
          <w:sz w:val="24"/>
          <w:szCs w:val="24"/>
        </w:rPr>
        <w:t xml:space="preserve">Protection against unemployment- flexicurity the Polish way, </w:t>
      </w:r>
      <w:r w:rsidRPr="00BD4D7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(w:) </w:t>
      </w:r>
      <w:r w:rsidRPr="00BD4D72">
        <w:rPr>
          <w:rStyle w:val="apple-style-span"/>
          <w:rFonts w:ascii="Times New Roman" w:hAnsi="Times New Roman"/>
          <w:i/>
          <w:color w:val="000000" w:themeColor="text1"/>
          <w:sz w:val="24"/>
          <w:szCs w:val="24"/>
        </w:rPr>
        <w:t>Wykorzystywanie człowieka</w:t>
      </w:r>
      <w:r w:rsidRPr="00BD4D72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 w XX i XXI wieku, B. Sitek, G. Dammacco, D. Barańska, K. Naumowicz, K. Zaworska (red.), Olsztyn 2012, s. 581</w:t>
      </w:r>
      <w:r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>.</w:t>
      </w:r>
    </w:p>
    <w:p w:rsidR="00574D39" w:rsidRPr="00574D39" w:rsidRDefault="00574D39" w:rsidP="007711C1">
      <w:pPr>
        <w:numPr>
          <w:ilvl w:val="0"/>
          <w:numId w:val="33"/>
        </w:numPr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</w:rPr>
        <w:t>Charakter prawny zasiłku dla bezrobotnych</w:t>
      </w:r>
      <w:r w:rsidRPr="00574D39">
        <w:rPr>
          <w:rFonts w:ascii="Times New Roman" w:hAnsi="Times New Roman"/>
          <w:sz w:val="24"/>
          <w:szCs w:val="24"/>
        </w:rPr>
        <w:t xml:space="preserve">, (w:) </w:t>
      </w:r>
      <w:r w:rsidRPr="00574D39">
        <w:rPr>
          <w:rFonts w:ascii="Times New Roman" w:hAnsi="Times New Roman"/>
          <w:i/>
          <w:sz w:val="24"/>
          <w:szCs w:val="24"/>
        </w:rPr>
        <w:t>Bezrobocie i polityka zatrudnienia</w:t>
      </w:r>
      <w:r w:rsidRPr="00574D39">
        <w:rPr>
          <w:rFonts w:ascii="Times New Roman" w:hAnsi="Times New Roman"/>
          <w:sz w:val="24"/>
          <w:szCs w:val="24"/>
        </w:rPr>
        <w:t xml:space="preserve">, </w:t>
      </w:r>
      <w:r w:rsidR="00BD4D72">
        <w:rPr>
          <w:rFonts w:ascii="Times New Roman" w:hAnsi="Times New Roman"/>
          <w:sz w:val="24"/>
          <w:szCs w:val="24"/>
        </w:rPr>
        <w:t>Z. Góral (red.), Warszawa 2012</w:t>
      </w:r>
      <w:r w:rsidRPr="00574D39">
        <w:rPr>
          <w:rFonts w:ascii="Times New Roman" w:eastAsia="Bliss2" w:hAnsi="Times New Roman"/>
          <w:sz w:val="24"/>
          <w:szCs w:val="24"/>
        </w:rPr>
        <w:t xml:space="preserve">, </w:t>
      </w:r>
      <w:r w:rsidR="00BD4D72">
        <w:rPr>
          <w:rFonts w:ascii="Times New Roman" w:hAnsi="Times New Roman"/>
          <w:sz w:val="24"/>
          <w:szCs w:val="24"/>
        </w:rPr>
        <w:t>s. 91.</w:t>
      </w:r>
    </w:p>
    <w:p w:rsidR="00574D39" w:rsidRPr="00574D39" w:rsidRDefault="00574D39" w:rsidP="007711C1">
      <w:pPr>
        <w:numPr>
          <w:ilvl w:val="0"/>
          <w:numId w:val="33"/>
        </w:numPr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  <w:lang w:val="en-US"/>
        </w:rPr>
      </w:pPr>
      <w:r w:rsidRPr="00574D39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  <w:lang w:val="en-GB"/>
        </w:rPr>
        <w:t xml:space="preserve">The subjective and objective scope of information on unemployment benefits, (w:) Communication as a Measure of Protection and Limitation of Human Rights. </w:t>
      </w:r>
      <w:r w:rsidRPr="00574D39">
        <w:rPr>
          <w:rFonts w:ascii="Times New Roman" w:hAnsi="Times New Roman"/>
          <w:i/>
          <w:sz w:val="24"/>
          <w:szCs w:val="24"/>
          <w:lang w:val="en-US"/>
        </w:rPr>
        <w:t xml:space="preserve">Information in Relation to Human Rights, </w:t>
      </w:r>
      <w:r w:rsidR="00BD4D72">
        <w:rPr>
          <w:rFonts w:ascii="Times New Roman" w:hAnsi="Times New Roman"/>
          <w:sz w:val="24"/>
          <w:szCs w:val="24"/>
          <w:lang w:val="en-US"/>
        </w:rPr>
        <w:t xml:space="preserve">M. Patakyova </w:t>
      </w:r>
      <w:r w:rsidRPr="00574D39">
        <w:rPr>
          <w:rFonts w:ascii="Times New Roman" w:hAnsi="Times New Roman"/>
          <w:sz w:val="24"/>
          <w:szCs w:val="24"/>
          <w:lang w:val="en-US"/>
        </w:rPr>
        <w:t>(red.), Bratysława 2013</w:t>
      </w:r>
      <w:r w:rsidR="00BD4D72">
        <w:rPr>
          <w:rFonts w:ascii="Times New Roman" w:hAnsi="Times New Roman"/>
          <w:sz w:val="24"/>
          <w:szCs w:val="24"/>
          <w:lang w:val="en-US"/>
        </w:rPr>
        <w:t xml:space="preserve">, s.243. </w:t>
      </w:r>
    </w:p>
    <w:p w:rsidR="00574D39" w:rsidRPr="00574D39" w:rsidRDefault="00574D39" w:rsidP="007711C1">
      <w:pPr>
        <w:pStyle w:val="Nagwek"/>
        <w:numPr>
          <w:ilvl w:val="0"/>
          <w:numId w:val="33"/>
        </w:numPr>
        <w:tabs>
          <w:tab w:val="clear" w:pos="4536"/>
          <w:tab w:val="clear" w:pos="9072"/>
          <w:tab w:val="center" w:pos="851"/>
          <w:tab w:val="right" w:pos="8222"/>
        </w:tabs>
        <w:spacing w:before="120" w:after="120" w:line="360" w:lineRule="auto"/>
        <w:ind w:left="1647"/>
        <w:jc w:val="both"/>
        <w:rPr>
          <w:rFonts w:ascii="Times New Roman" w:hAnsi="Times New Roman"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</w:rPr>
        <w:t>Minimalne wynagrodzenie za pracę a godziwa płaca</w:t>
      </w:r>
      <w:r w:rsidRPr="00574D39">
        <w:rPr>
          <w:rFonts w:ascii="Times New Roman" w:hAnsi="Times New Roman"/>
          <w:sz w:val="24"/>
          <w:szCs w:val="24"/>
        </w:rPr>
        <w:t xml:space="preserve">, (w:) </w:t>
      </w:r>
      <w:r w:rsidRPr="00574D39">
        <w:rPr>
          <w:rFonts w:ascii="Times New Roman" w:hAnsi="Times New Roman"/>
          <w:i/>
          <w:sz w:val="24"/>
          <w:szCs w:val="24"/>
        </w:rPr>
        <w:t>Unpaid work,</w:t>
      </w:r>
      <w:r w:rsidRPr="00574D39">
        <w:rPr>
          <w:rFonts w:ascii="Times New Roman" w:hAnsi="Times New Roman"/>
          <w:sz w:val="24"/>
          <w:szCs w:val="24"/>
        </w:rPr>
        <w:t xml:space="preserve"> Z. Majkut, P. Starzyński, G. Majkut (r</w:t>
      </w:r>
      <w:r w:rsidR="00BD4D72">
        <w:rPr>
          <w:rFonts w:ascii="Times New Roman" w:hAnsi="Times New Roman"/>
          <w:sz w:val="24"/>
          <w:szCs w:val="24"/>
        </w:rPr>
        <w:t>ed.), Olsztyn, 2014, s. 113.</w:t>
      </w:r>
    </w:p>
    <w:p w:rsidR="00574D39" w:rsidRPr="007711C1" w:rsidRDefault="00574D39" w:rsidP="007711C1">
      <w:pPr>
        <w:pStyle w:val="Nagwek"/>
        <w:numPr>
          <w:ilvl w:val="0"/>
          <w:numId w:val="33"/>
        </w:numPr>
        <w:tabs>
          <w:tab w:val="clear" w:pos="4536"/>
          <w:tab w:val="clear" w:pos="9072"/>
          <w:tab w:val="center" w:pos="851"/>
          <w:tab w:val="right" w:pos="8222"/>
        </w:tabs>
        <w:spacing w:before="120" w:after="120" w:line="360" w:lineRule="auto"/>
        <w:ind w:left="1647"/>
        <w:jc w:val="both"/>
        <w:rPr>
          <w:rFonts w:ascii="Times New Roman" w:hAnsi="Times New Roman"/>
          <w:b/>
          <w:sz w:val="24"/>
          <w:szCs w:val="24"/>
        </w:rPr>
      </w:pPr>
      <w:r w:rsidRPr="00574D39">
        <w:rPr>
          <w:rFonts w:ascii="Times New Roman" w:hAnsi="Times New Roman"/>
          <w:sz w:val="24"/>
          <w:szCs w:val="24"/>
        </w:rPr>
        <w:t xml:space="preserve">Jaworska K., </w:t>
      </w:r>
      <w:r w:rsidRPr="00574D39">
        <w:rPr>
          <w:rFonts w:ascii="Times New Roman" w:hAnsi="Times New Roman"/>
          <w:i/>
          <w:sz w:val="24"/>
          <w:szCs w:val="24"/>
        </w:rPr>
        <w:t>Prawo do zasiłku dla bezrobotnych - uwagi inspirowane treścią encykliki "Laborem exercens",</w:t>
      </w:r>
      <w:r w:rsidRPr="00574D39">
        <w:rPr>
          <w:rFonts w:ascii="Times New Roman" w:hAnsi="Times New Roman"/>
          <w:sz w:val="24"/>
          <w:szCs w:val="24"/>
        </w:rPr>
        <w:t xml:space="preserve"> (w:) </w:t>
      </w:r>
      <w:r w:rsidRPr="00574D39">
        <w:rPr>
          <w:rFonts w:ascii="Times New Roman" w:hAnsi="Times New Roman"/>
          <w:i/>
          <w:sz w:val="24"/>
          <w:szCs w:val="24"/>
        </w:rPr>
        <w:t>Wartości i interesy a prawo pracy. Wokół encykliki Laborem exercens Jana Pawła II</w:t>
      </w:r>
      <w:r w:rsidRPr="00574D39">
        <w:rPr>
          <w:rFonts w:ascii="Times New Roman" w:hAnsi="Times New Roman"/>
          <w:sz w:val="24"/>
          <w:szCs w:val="24"/>
        </w:rPr>
        <w:t>, A. Reda-Ciszewska, M. Włodarcz</w:t>
      </w:r>
      <w:r w:rsidR="00BD4D72">
        <w:rPr>
          <w:rFonts w:ascii="Times New Roman" w:hAnsi="Times New Roman"/>
          <w:sz w:val="24"/>
          <w:szCs w:val="24"/>
        </w:rPr>
        <w:t>yk (red.), Łódź 2014, s. 181.</w:t>
      </w:r>
      <w:r w:rsidR="00BD4D72" w:rsidRPr="00574D3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90139" w:rsidRPr="00574D39" w:rsidRDefault="00646BC9" w:rsidP="007711C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4D39">
        <w:rPr>
          <w:rFonts w:ascii="Times New Roman" w:hAnsi="Times New Roman"/>
          <w:b/>
          <w:sz w:val="28"/>
          <w:szCs w:val="28"/>
        </w:rPr>
        <w:t>Inne publikacje</w:t>
      </w:r>
    </w:p>
    <w:p w:rsidR="00574D39" w:rsidRPr="007711C1" w:rsidRDefault="00574D39" w:rsidP="007711C1">
      <w:pPr>
        <w:pStyle w:val="Akapitzlist"/>
        <w:numPr>
          <w:ilvl w:val="0"/>
          <w:numId w:val="34"/>
        </w:numPr>
        <w:spacing w:before="120" w:after="120" w:line="360" w:lineRule="auto"/>
        <w:jc w:val="both"/>
      </w:pPr>
      <w:r w:rsidRPr="00574D39">
        <w:t xml:space="preserve">Jaworska K., </w:t>
      </w:r>
      <w:r w:rsidRPr="00BD4D72">
        <w:rPr>
          <w:i/>
        </w:rPr>
        <w:t>Wybrane zagadnienia prawa pracy</w:t>
      </w:r>
      <w:r w:rsidRPr="00574D39">
        <w:t xml:space="preserve">, (w:) </w:t>
      </w:r>
      <w:r w:rsidRPr="00BD4D72">
        <w:rPr>
          <w:i/>
        </w:rPr>
        <w:t>Podstawy prawa dla licencjackich studiów ekonomicznych</w:t>
      </w:r>
      <w:r w:rsidRPr="00574D39">
        <w:t xml:space="preserve">, S. Sitek,  P. Kubiński (red.), Olsztyn </w:t>
      </w:r>
      <w:r w:rsidRPr="00BD4D72">
        <w:t>2011</w:t>
      </w:r>
      <w:r w:rsidRPr="00574D39">
        <w:t>, s. 243.</w:t>
      </w:r>
    </w:p>
    <w:p w:rsidR="00190139" w:rsidRPr="00574D39" w:rsidRDefault="00BD4D72" w:rsidP="007711C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Czynny u</w:t>
      </w:r>
      <w:r w:rsidR="000F320B" w:rsidRPr="00574D39">
        <w:rPr>
          <w:rFonts w:ascii="Times New Roman" w:hAnsi="Times New Roman"/>
          <w:b/>
          <w:sz w:val="28"/>
          <w:szCs w:val="28"/>
        </w:rPr>
        <w:t xml:space="preserve">dział w konferencjach naukowych </w:t>
      </w:r>
    </w:p>
    <w:p w:rsidR="007711C1" w:rsidRPr="007711C1" w:rsidRDefault="007711C1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autoSpaceDE w:val="0"/>
        <w:autoSpaceDN w:val="0"/>
        <w:adjustRightInd w:val="0"/>
        <w:spacing w:before="120" w:after="120" w:line="360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7711C1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12th International Conference </w:t>
      </w:r>
      <w:r w:rsidRPr="007711C1">
        <w:rPr>
          <w:rFonts w:ascii="Times New Roman" w:hAnsi="Times New Roman"/>
          <w:sz w:val="24"/>
          <w:szCs w:val="24"/>
          <w:lang w:val="en-US"/>
        </w:rPr>
        <w:t>on Human Rights 2012, Wydział Prawa Uniwersytetu Komeńskiego w Bratysławie</w:t>
      </w:r>
      <w:r w:rsidRPr="007711C1">
        <w:rPr>
          <w:rStyle w:val="apple-style-span"/>
          <w:rFonts w:ascii="Times New Roman" w:hAnsi="Times New Roman"/>
          <w:sz w:val="24"/>
          <w:szCs w:val="24"/>
          <w:lang w:val="en-US"/>
        </w:rPr>
        <w:t xml:space="preserve">, Referat: </w:t>
      </w:r>
      <w:r w:rsidRPr="007711C1">
        <w:rPr>
          <w:rFonts w:ascii="Times New Roman" w:hAnsi="Times New Roman"/>
          <w:i/>
          <w:sz w:val="24"/>
          <w:szCs w:val="24"/>
          <w:lang w:val="en-GB"/>
        </w:rPr>
        <w:t>The subjective and objective scope of information on unemployment benefits</w:t>
      </w:r>
      <w:r w:rsidRPr="007711C1">
        <w:rPr>
          <w:rStyle w:val="apple-style-span"/>
          <w:rFonts w:ascii="Times New Roman" w:hAnsi="Times New Roman"/>
          <w:sz w:val="24"/>
          <w:szCs w:val="24"/>
          <w:lang w:val="en-US"/>
        </w:rPr>
        <w:t>.</w:t>
      </w:r>
    </w:p>
    <w:p w:rsidR="007711C1" w:rsidRPr="007711C1" w:rsidRDefault="007711C1" w:rsidP="007711C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jc w:val="both"/>
        <w:rPr>
          <w:rStyle w:val="apple-style-span"/>
          <w:color w:val="000000"/>
        </w:rPr>
      </w:pPr>
      <w:r w:rsidRPr="007711C1">
        <w:rPr>
          <w:rStyle w:val="apple-style-span"/>
          <w:color w:val="000000"/>
        </w:rPr>
        <w:t xml:space="preserve">Ogólnopolska Konferencja Naukowa „W 30-lecie encykliki Jana Pawła II Laborem exercens” Wydział Prawa i Administracji Uniwersytetu Kardynała Stefana Wyszyńskiego w Warszawie, referat: </w:t>
      </w:r>
      <w:r w:rsidRPr="007711C1">
        <w:rPr>
          <w:rStyle w:val="apple-style-span"/>
          <w:i/>
          <w:color w:val="000000"/>
        </w:rPr>
        <w:t>Prawo do zabezpieczenia na wypadek bezrobocia w Encyklice Laborem exercens</w:t>
      </w:r>
      <w:r>
        <w:rPr>
          <w:rStyle w:val="apple-style-span"/>
          <w:i/>
          <w:color w:val="000000"/>
        </w:rPr>
        <w:t>.</w:t>
      </w:r>
    </w:p>
    <w:p w:rsidR="007711C1" w:rsidRPr="007711C1" w:rsidRDefault="007711C1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autoSpaceDE w:val="0"/>
        <w:autoSpaceDN w:val="0"/>
        <w:adjustRightInd w:val="0"/>
        <w:spacing w:before="120" w:after="120" w:line="360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7711C1">
        <w:rPr>
          <w:rFonts w:ascii="Times New Roman" w:hAnsi="Times New Roman"/>
          <w:color w:val="000000"/>
          <w:sz w:val="24"/>
          <w:szCs w:val="24"/>
        </w:rPr>
        <w:lastRenderedPageBreak/>
        <w:t xml:space="preserve">Konferencja Podmiotowość w prawie, Wydział Prawa i Administracji UWM w Olsztynie, referat: </w:t>
      </w:r>
      <w:r w:rsidRPr="007711C1">
        <w:rPr>
          <w:rFonts w:ascii="Times New Roman" w:hAnsi="Times New Roman"/>
          <w:i/>
          <w:color w:val="000000"/>
          <w:sz w:val="24"/>
          <w:szCs w:val="24"/>
        </w:rPr>
        <w:t>Pojęcie prawne bezrobotnego</w:t>
      </w:r>
      <w:r w:rsidRPr="007711C1">
        <w:rPr>
          <w:rFonts w:ascii="Times New Roman" w:hAnsi="Times New Roman"/>
          <w:color w:val="000000"/>
          <w:sz w:val="24"/>
          <w:szCs w:val="24"/>
        </w:rPr>
        <w:t>.</w:t>
      </w:r>
    </w:p>
    <w:p w:rsidR="00BD4D72" w:rsidRPr="007711C1" w:rsidRDefault="00BD4D72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autoSpaceDE w:val="0"/>
        <w:autoSpaceDN w:val="0"/>
        <w:adjustRightInd w:val="0"/>
        <w:spacing w:before="120" w:after="120" w:line="360" w:lineRule="auto"/>
        <w:jc w:val="both"/>
        <w:rPr>
          <w:rStyle w:val="apple-style-span"/>
          <w:rFonts w:ascii="Times New Roman" w:hAnsi="Times New Roman"/>
          <w:bCs/>
          <w:sz w:val="24"/>
          <w:szCs w:val="24"/>
        </w:rPr>
      </w:pPr>
      <w:r w:rsidRPr="007711C1">
        <w:rPr>
          <w:rStyle w:val="apple-style-span"/>
          <w:rFonts w:ascii="Times New Roman" w:hAnsi="Times New Roman"/>
          <w:bCs/>
          <w:sz w:val="24"/>
          <w:szCs w:val="24"/>
        </w:rPr>
        <w:t>Międzynarodowa Konferencja Naukowa z okazji 60. rocznicy wejścia w życie Europejskiej Konwencji Praw Człowieka - Uniwersalny i regionalny wymiar ochrony praw człowieka. Nowe wyzwania – nowe rozwiązania</w:t>
      </w:r>
      <w:r w:rsidR="007711C1" w:rsidRPr="007711C1">
        <w:rPr>
          <w:rStyle w:val="apple-style-span"/>
          <w:rFonts w:ascii="Times New Roman" w:hAnsi="Times New Roman"/>
          <w:bCs/>
          <w:sz w:val="24"/>
          <w:szCs w:val="24"/>
        </w:rPr>
        <w:t xml:space="preserve">, Warszawa, referat: </w:t>
      </w:r>
      <w:r w:rsidRPr="007711C1">
        <w:rPr>
          <w:rFonts w:ascii="Times New Roman" w:hAnsi="Times New Roman"/>
          <w:i/>
          <w:sz w:val="24"/>
          <w:szCs w:val="24"/>
        </w:rPr>
        <w:t>Zgodność polskiego systemu socjalnego traktowania bezrobocia ze standardami Międzynarodowej Organizacji Pracy i Rady Europy</w:t>
      </w:r>
      <w:r w:rsidR="007711C1" w:rsidRPr="007711C1">
        <w:rPr>
          <w:rFonts w:ascii="Times New Roman" w:hAnsi="Times New Roman"/>
          <w:i/>
          <w:sz w:val="24"/>
          <w:szCs w:val="24"/>
        </w:rPr>
        <w:t>.</w:t>
      </w:r>
    </w:p>
    <w:p w:rsidR="00574D39" w:rsidRPr="007711C1" w:rsidRDefault="00574D39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711C1">
        <w:rPr>
          <w:rFonts w:ascii="Times New Roman" w:hAnsi="Times New Roman"/>
          <w:sz w:val="24"/>
          <w:szCs w:val="24"/>
        </w:rPr>
        <w:t>Międzynarodowa Konferencja „Modele ochrony praw człowieka: europejski i amerykański. Aksjologia – instytucje – efektywność”, Sejm RP, referat:</w:t>
      </w:r>
      <w:r w:rsidRPr="007711C1">
        <w:rPr>
          <w:rFonts w:ascii="Times New Roman" w:hAnsi="Times New Roman"/>
          <w:i/>
          <w:sz w:val="24"/>
          <w:szCs w:val="24"/>
        </w:rPr>
        <w:t xml:space="preserve"> Model socjalnego traktowania bezrobocia w państwach Unii Europejskiej</w:t>
      </w:r>
      <w:r w:rsidRPr="007711C1">
        <w:rPr>
          <w:rFonts w:ascii="Times New Roman" w:hAnsi="Times New Roman"/>
          <w:sz w:val="24"/>
          <w:szCs w:val="24"/>
        </w:rPr>
        <w:t>.</w:t>
      </w:r>
    </w:p>
    <w:p w:rsidR="00574D39" w:rsidRPr="007711C1" w:rsidRDefault="00574D39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711C1">
        <w:rPr>
          <w:rFonts w:ascii="Times New Roman" w:hAnsi="Times New Roman"/>
          <w:sz w:val="24"/>
          <w:szCs w:val="24"/>
        </w:rPr>
        <w:t xml:space="preserve">Międzynarodowa Konferencja „Nieodpłatna praca”, referat: </w:t>
      </w:r>
      <w:r w:rsidRPr="007711C1">
        <w:rPr>
          <w:rFonts w:ascii="Times New Roman" w:hAnsi="Times New Roman"/>
          <w:i/>
          <w:sz w:val="24"/>
          <w:szCs w:val="24"/>
        </w:rPr>
        <w:t xml:space="preserve">Minimalne wynagrodzenie za pracę a godziwa płaca. </w:t>
      </w:r>
    </w:p>
    <w:p w:rsidR="00574D39" w:rsidRPr="007711C1" w:rsidRDefault="00574D39" w:rsidP="007711C1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center" w:pos="851"/>
          <w:tab w:val="right" w:pos="822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711C1">
        <w:rPr>
          <w:rFonts w:ascii="Times New Roman" w:hAnsi="Times New Roman"/>
          <w:sz w:val="24"/>
          <w:szCs w:val="24"/>
        </w:rPr>
        <w:t xml:space="preserve"> XVIII Konferencja Centrów Dokumentacji Europejskiej w Polsce, referat: </w:t>
      </w:r>
      <w:r w:rsidRPr="007711C1">
        <w:rPr>
          <w:rFonts w:ascii="Times New Roman" w:hAnsi="Times New Roman"/>
          <w:i/>
          <w:sz w:val="24"/>
          <w:szCs w:val="24"/>
        </w:rPr>
        <w:t>Zabezpieczenie społeczne w Unii Europejskiej.</w:t>
      </w:r>
      <w:r w:rsidRPr="007711C1">
        <w:rPr>
          <w:rFonts w:ascii="Times New Roman" w:hAnsi="Times New Roman"/>
          <w:sz w:val="24"/>
          <w:szCs w:val="24"/>
        </w:rPr>
        <w:t xml:space="preserve"> </w:t>
      </w:r>
    </w:p>
    <w:p w:rsidR="00574D39" w:rsidRPr="007711C1" w:rsidRDefault="00574D39" w:rsidP="007711C1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139" w:rsidRPr="007711C1" w:rsidRDefault="00190139" w:rsidP="007711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0139" w:rsidRPr="007711C1" w:rsidRDefault="00190139" w:rsidP="007711C1">
      <w:pPr>
        <w:pStyle w:val="Akapitzlist"/>
        <w:spacing w:before="120" w:after="120" w:line="360" w:lineRule="auto"/>
        <w:ind w:left="1287"/>
        <w:jc w:val="both"/>
        <w:rPr>
          <w:b/>
        </w:rPr>
      </w:pPr>
    </w:p>
    <w:p w:rsidR="000F320B" w:rsidRPr="007711C1" w:rsidRDefault="000F320B" w:rsidP="007711C1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F320B" w:rsidRPr="007711C1" w:rsidSect="004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s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1F9"/>
    <w:multiLevelType w:val="hybridMultilevel"/>
    <w:tmpl w:val="B50C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E20"/>
    <w:multiLevelType w:val="hybridMultilevel"/>
    <w:tmpl w:val="018232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CE4EF9"/>
    <w:multiLevelType w:val="hybridMultilevel"/>
    <w:tmpl w:val="F61404C0"/>
    <w:lvl w:ilvl="0" w:tplc="B5C0F9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788D"/>
    <w:multiLevelType w:val="hybridMultilevel"/>
    <w:tmpl w:val="2802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00026"/>
    <w:multiLevelType w:val="hybridMultilevel"/>
    <w:tmpl w:val="CC4C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B96"/>
    <w:multiLevelType w:val="hybridMultilevel"/>
    <w:tmpl w:val="4B0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03372"/>
    <w:multiLevelType w:val="hybridMultilevel"/>
    <w:tmpl w:val="2BF0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3CA5"/>
    <w:multiLevelType w:val="hybridMultilevel"/>
    <w:tmpl w:val="60EA60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812BF0"/>
    <w:multiLevelType w:val="hybridMultilevel"/>
    <w:tmpl w:val="43800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A46F17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6102"/>
    <w:multiLevelType w:val="hybridMultilevel"/>
    <w:tmpl w:val="A29A787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4600F"/>
    <w:multiLevelType w:val="hybridMultilevel"/>
    <w:tmpl w:val="D5D611A8"/>
    <w:lvl w:ilvl="0" w:tplc="449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52C99"/>
    <w:multiLevelType w:val="hybridMultilevel"/>
    <w:tmpl w:val="3C62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512E6"/>
    <w:multiLevelType w:val="hybridMultilevel"/>
    <w:tmpl w:val="8750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70060"/>
    <w:multiLevelType w:val="hybridMultilevel"/>
    <w:tmpl w:val="11DA53B4"/>
    <w:lvl w:ilvl="0" w:tplc="309A01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20E81379"/>
    <w:multiLevelType w:val="hybridMultilevel"/>
    <w:tmpl w:val="B0FA0456"/>
    <w:lvl w:ilvl="0" w:tplc="505EB98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0555"/>
    <w:multiLevelType w:val="hybridMultilevel"/>
    <w:tmpl w:val="93A4A722"/>
    <w:lvl w:ilvl="0" w:tplc="0B34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942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642F"/>
    <w:multiLevelType w:val="hybridMultilevel"/>
    <w:tmpl w:val="32F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4B1"/>
    <w:multiLevelType w:val="hybridMultilevel"/>
    <w:tmpl w:val="524C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76C"/>
    <w:multiLevelType w:val="hybridMultilevel"/>
    <w:tmpl w:val="7376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6609A3"/>
    <w:multiLevelType w:val="hybridMultilevel"/>
    <w:tmpl w:val="D5D611A8"/>
    <w:lvl w:ilvl="0" w:tplc="449C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8450D"/>
    <w:multiLevelType w:val="hybridMultilevel"/>
    <w:tmpl w:val="206C361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59D3C9F"/>
    <w:multiLevelType w:val="hybridMultilevel"/>
    <w:tmpl w:val="496AE5C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>
    <w:nsid w:val="57371732"/>
    <w:multiLevelType w:val="hybridMultilevel"/>
    <w:tmpl w:val="1AE41B42"/>
    <w:lvl w:ilvl="0" w:tplc="041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32569"/>
    <w:multiLevelType w:val="hybridMultilevel"/>
    <w:tmpl w:val="2DFC64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D2178A"/>
    <w:multiLevelType w:val="hybridMultilevel"/>
    <w:tmpl w:val="7CBE19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EC7981"/>
    <w:multiLevelType w:val="hybridMultilevel"/>
    <w:tmpl w:val="87DEE364"/>
    <w:lvl w:ilvl="0" w:tplc="24764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13238"/>
    <w:multiLevelType w:val="hybridMultilevel"/>
    <w:tmpl w:val="A2FC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4A9"/>
    <w:multiLevelType w:val="hybridMultilevel"/>
    <w:tmpl w:val="74D8247C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0">
    <w:nsid w:val="5F616477"/>
    <w:multiLevelType w:val="hybridMultilevel"/>
    <w:tmpl w:val="C4EE8332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2423B26"/>
    <w:multiLevelType w:val="hybridMultilevel"/>
    <w:tmpl w:val="C36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31A4F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62494"/>
    <w:multiLevelType w:val="hybridMultilevel"/>
    <w:tmpl w:val="E4C4E28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C4C35"/>
    <w:multiLevelType w:val="hybridMultilevel"/>
    <w:tmpl w:val="9136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14262"/>
    <w:multiLevelType w:val="hybridMultilevel"/>
    <w:tmpl w:val="B1DA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3"/>
  </w:num>
  <w:num w:numId="7">
    <w:abstractNumId w:val="1"/>
  </w:num>
  <w:num w:numId="8">
    <w:abstractNumId w:val="25"/>
  </w:num>
  <w:num w:numId="9">
    <w:abstractNumId w:val="5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4"/>
  </w:num>
  <w:num w:numId="15">
    <w:abstractNumId w:val="12"/>
  </w:num>
  <w:num w:numId="16">
    <w:abstractNumId w:val="31"/>
  </w:num>
  <w:num w:numId="17">
    <w:abstractNumId w:val="26"/>
  </w:num>
  <w:num w:numId="18">
    <w:abstractNumId w:val="19"/>
  </w:num>
  <w:num w:numId="19">
    <w:abstractNumId w:val="28"/>
  </w:num>
  <w:num w:numId="20">
    <w:abstractNumId w:val="17"/>
  </w:num>
  <w:num w:numId="21">
    <w:abstractNumId w:val="18"/>
  </w:num>
  <w:num w:numId="22">
    <w:abstractNumId w:val="34"/>
  </w:num>
  <w:num w:numId="23">
    <w:abstractNumId w:val="35"/>
  </w:num>
  <w:num w:numId="24">
    <w:abstractNumId w:val="24"/>
  </w:num>
  <w:num w:numId="25">
    <w:abstractNumId w:val="9"/>
  </w:num>
  <w:num w:numId="26">
    <w:abstractNumId w:val="32"/>
  </w:num>
  <w:num w:numId="27">
    <w:abstractNumId w:val="11"/>
  </w:num>
  <w:num w:numId="28">
    <w:abstractNumId w:val="0"/>
  </w:num>
  <w:num w:numId="29">
    <w:abstractNumId w:val="21"/>
  </w:num>
  <w:num w:numId="30">
    <w:abstractNumId w:val="2"/>
  </w:num>
  <w:num w:numId="31">
    <w:abstractNumId w:val="6"/>
  </w:num>
  <w:num w:numId="32">
    <w:abstractNumId w:val="15"/>
  </w:num>
  <w:num w:numId="33">
    <w:abstractNumId w:val="27"/>
  </w:num>
  <w:num w:numId="34">
    <w:abstractNumId w:val="30"/>
  </w:num>
  <w:num w:numId="35">
    <w:abstractNumId w:val="2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4DDC"/>
    <w:rsid w:val="000203E7"/>
    <w:rsid w:val="000A5A50"/>
    <w:rsid w:val="000D30F8"/>
    <w:rsid w:val="000F320B"/>
    <w:rsid w:val="00142E28"/>
    <w:rsid w:val="00170C07"/>
    <w:rsid w:val="00190139"/>
    <w:rsid w:val="001E55F6"/>
    <w:rsid w:val="00264631"/>
    <w:rsid w:val="002723BF"/>
    <w:rsid w:val="00357E57"/>
    <w:rsid w:val="00383D2F"/>
    <w:rsid w:val="003E3389"/>
    <w:rsid w:val="00433745"/>
    <w:rsid w:val="004703C9"/>
    <w:rsid w:val="004A5D3E"/>
    <w:rsid w:val="004B5ED6"/>
    <w:rsid w:val="004D72EE"/>
    <w:rsid w:val="004F5C19"/>
    <w:rsid w:val="00530C86"/>
    <w:rsid w:val="00574D39"/>
    <w:rsid w:val="00646BC9"/>
    <w:rsid w:val="006B260C"/>
    <w:rsid w:val="006F780E"/>
    <w:rsid w:val="007519B2"/>
    <w:rsid w:val="007534C2"/>
    <w:rsid w:val="007662A5"/>
    <w:rsid w:val="007711C1"/>
    <w:rsid w:val="00794DDC"/>
    <w:rsid w:val="00806C4C"/>
    <w:rsid w:val="008139E2"/>
    <w:rsid w:val="00851ECD"/>
    <w:rsid w:val="00880E46"/>
    <w:rsid w:val="00940CF9"/>
    <w:rsid w:val="0096636A"/>
    <w:rsid w:val="009A6E10"/>
    <w:rsid w:val="009C4B17"/>
    <w:rsid w:val="00A00A19"/>
    <w:rsid w:val="00A51D3D"/>
    <w:rsid w:val="00A84505"/>
    <w:rsid w:val="00AF49AF"/>
    <w:rsid w:val="00B11B12"/>
    <w:rsid w:val="00B13DF8"/>
    <w:rsid w:val="00B84810"/>
    <w:rsid w:val="00BD01C9"/>
    <w:rsid w:val="00BD4D72"/>
    <w:rsid w:val="00C555E3"/>
    <w:rsid w:val="00D11C1A"/>
    <w:rsid w:val="00D91C66"/>
    <w:rsid w:val="00DA2D06"/>
    <w:rsid w:val="00DF166A"/>
    <w:rsid w:val="00E93E1D"/>
    <w:rsid w:val="00F26D24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D2B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7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574D39"/>
  </w:style>
  <w:style w:type="paragraph" w:styleId="Nagwek">
    <w:name w:val="header"/>
    <w:basedOn w:val="Normalny"/>
    <w:link w:val="NagwekZnak"/>
    <w:uiPriority w:val="99"/>
    <w:unhideWhenUsed/>
    <w:rsid w:val="0057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D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D2B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7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574D39"/>
  </w:style>
  <w:style w:type="paragraph" w:styleId="Nagwek">
    <w:name w:val="header"/>
    <w:basedOn w:val="Normalny"/>
    <w:link w:val="NagwekZnak"/>
    <w:uiPriority w:val="99"/>
    <w:unhideWhenUsed/>
    <w:rsid w:val="0057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D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5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7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8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WINDT_09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ADS</cp:lastModifiedBy>
  <cp:revision>2</cp:revision>
  <dcterms:created xsi:type="dcterms:W3CDTF">2015-04-08T06:29:00Z</dcterms:created>
  <dcterms:modified xsi:type="dcterms:W3CDTF">2015-04-08T06:29:00Z</dcterms:modified>
</cp:coreProperties>
</file>