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98" w:rsidRPr="007E6998" w:rsidRDefault="007E6998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7E6998">
        <w:rPr>
          <w:rStyle w:val="s3"/>
          <w:b/>
          <w:bCs/>
          <w:color w:val="000000"/>
        </w:rPr>
        <w:t>Uchwała nr 4/2015/D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7E6998">
        <w:rPr>
          <w:rStyle w:val="s3"/>
          <w:b/>
          <w:bCs/>
          <w:color w:val="000000"/>
        </w:rPr>
        <w:t>Wydziału Prawa i Administracji</w:t>
      </w:r>
      <w:r w:rsidRPr="007E6998">
        <w:rPr>
          <w:rStyle w:val="apple-converted-space"/>
          <w:b/>
          <w:color w:val="000000"/>
        </w:rPr>
        <w:t> </w:t>
      </w:r>
      <w:r w:rsidRPr="007E6998">
        <w:rPr>
          <w:rStyle w:val="s3"/>
          <w:b/>
          <w:bCs/>
          <w:color w:val="000000"/>
        </w:rPr>
        <w:t>Uniwersytetu Warmińsko-Mazurskiego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7E6998">
        <w:rPr>
          <w:rStyle w:val="s3"/>
          <w:b/>
          <w:bCs/>
          <w:color w:val="000000"/>
        </w:rPr>
        <w:t>z dnia 20 marca 2015 r.</w:t>
      </w:r>
      <w:r w:rsidRPr="007E6998">
        <w:rPr>
          <w:rStyle w:val="apple-converted-space"/>
          <w:b/>
          <w:bCs/>
          <w:color w:val="000000"/>
        </w:rPr>
        <w:t> 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7E6998">
        <w:rPr>
          <w:rStyle w:val="s3"/>
          <w:b/>
          <w:bCs/>
          <w:color w:val="000000"/>
        </w:rPr>
        <w:t>w sprawie zasad rekrutacji kandydatów na I rok studiów w roku akademickim  2016.</w:t>
      </w:r>
      <w:bookmarkStart w:id="0" w:name="_GoBack"/>
      <w:bookmarkEnd w:id="0"/>
    </w:p>
    <w:p w:rsidR="007E6998" w:rsidRDefault="007E6998">
      <w:pPr>
        <w:pStyle w:val="s11"/>
        <w:spacing w:before="0" w:beforeAutospacing="0" w:after="150" w:afterAutospacing="0"/>
        <w:jc w:val="both"/>
        <w:rPr>
          <w:b/>
          <w:color w:val="000000"/>
        </w:rPr>
      </w:pPr>
      <w:r w:rsidRPr="007E6998">
        <w:rPr>
          <w:b/>
          <w:color w:val="000000"/>
        </w:rPr>
        <w:t> </w:t>
      </w:r>
    </w:p>
    <w:p w:rsidR="00EF1D34" w:rsidRPr="007E6998" w:rsidRDefault="00EF1D34">
      <w:pPr>
        <w:pStyle w:val="s11"/>
        <w:spacing w:before="0" w:beforeAutospacing="0" w:after="150" w:afterAutospacing="0"/>
        <w:jc w:val="both"/>
        <w:rPr>
          <w:b/>
          <w:color w:val="000000"/>
        </w:rPr>
      </w:pPr>
    </w:p>
    <w:p w:rsidR="007E6998" w:rsidRPr="007E6998" w:rsidRDefault="007E6998">
      <w:pPr>
        <w:pStyle w:val="s11"/>
        <w:spacing w:before="0" w:beforeAutospacing="0" w:after="150" w:afterAutospacing="0"/>
        <w:jc w:val="both"/>
        <w:rPr>
          <w:color w:val="000000"/>
        </w:rPr>
      </w:pPr>
      <w:r w:rsidRPr="007E6998">
        <w:rPr>
          <w:rStyle w:val="s5"/>
          <w:color w:val="000000"/>
        </w:rPr>
        <w:t>Na podstawie § 23 ust. 1 pkt 6 Statutu Uniwersytetu Warmińsko-Mazurskiego w Olsztynie, Rada Wydziału Prawa i Administracji, uchwala co następuje:</w:t>
      </w:r>
      <w:r w:rsidRPr="007E6998">
        <w:rPr>
          <w:rStyle w:val="apple-converted-space"/>
          <w:color w:val="000000"/>
        </w:rPr>
        <w:t> 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7E6998">
        <w:rPr>
          <w:rStyle w:val="s5"/>
          <w:color w:val="000000"/>
        </w:rPr>
        <w:t>§ 1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rStyle w:val="s5"/>
          <w:color w:val="000000"/>
        </w:rPr>
        <w:t>Ustala się następujące kryteria kwalifikacji na I rok studiów na kierunkach: prawo, administracja, bezpieczeństwo wewnętrzne, administracja i cyfryzacja; dla kandydatów legitymujących się świadectwem dojrzałości uzyskanym w systemie „nowej matury”:</w:t>
      </w:r>
    </w:p>
    <w:p w:rsidR="007E6998" w:rsidRPr="007E6998" w:rsidRDefault="007E6998">
      <w:pPr>
        <w:ind w:hanging="270"/>
        <w:jc w:val="both"/>
        <w:divId w:val="1219513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Konkurs (ranking) sumy % punktów uzyskanych z przedmiotów w części pisemnej egzaminu maturalnego występujących na świadectwie dojrzałości;</w:t>
      </w:r>
    </w:p>
    <w:p w:rsidR="007E6998" w:rsidRPr="007E6998" w:rsidRDefault="007E6998">
      <w:pPr>
        <w:ind w:hanging="270"/>
        <w:jc w:val="both"/>
        <w:divId w:val="1420373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Uwzględniane przedmioty: geografia, historia, język polski, język obcy nowożytny, matematyka, wiedza o społeczeństwie, chemia, fizyka (należy dokonać wyboru trzech przedmiotów z listy).</w:t>
      </w:r>
    </w:p>
    <w:p w:rsidR="007E6998" w:rsidRPr="007E6998" w:rsidRDefault="007E6998">
      <w:pPr>
        <w:pStyle w:val="s14"/>
        <w:spacing w:before="0" w:beforeAutospacing="0" w:after="0" w:afterAutospacing="0"/>
        <w:ind w:left="540"/>
        <w:jc w:val="both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7E6998">
        <w:rPr>
          <w:rStyle w:val="s5"/>
          <w:color w:val="000000"/>
        </w:rPr>
        <w:t>§ 2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rStyle w:val="s5"/>
          <w:color w:val="000000"/>
        </w:rPr>
        <w:t>Ustala się następujące kryteria kwalifikacji na I rok studiów na kierunkach: prawo, administracja, bezpieczeństwo wewnętrzne, administracja i cyfryzacja; dla kandydatów legitymujących się świadectwem dojrzałości uzyskanym w systemie „starej matury”:</w:t>
      </w:r>
    </w:p>
    <w:p w:rsidR="007E6998" w:rsidRPr="007E6998" w:rsidRDefault="007E6998">
      <w:pPr>
        <w:ind w:hanging="270"/>
        <w:jc w:val="both"/>
        <w:divId w:val="998079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Konkurs (ranking)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średniej ocen uzyskanych z przedmiotów na egzaminie dojrzałości występujących na świadectwie dojrzałości;</w:t>
      </w:r>
    </w:p>
    <w:p w:rsidR="007E6998" w:rsidRPr="007E6998" w:rsidRDefault="007E6998">
      <w:pPr>
        <w:ind w:hanging="270"/>
        <w:jc w:val="both"/>
        <w:divId w:val="190291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Uwzględniane przedmioty: historia lub wiedza o społeczeństwie, geografia, matematyka, biologia lub chemia, język polski lub język obcy nowożytny.</w:t>
      </w:r>
    </w:p>
    <w:p w:rsidR="007E6998" w:rsidRPr="007E6998" w:rsidRDefault="007E6998">
      <w:pPr>
        <w:pStyle w:val="s14"/>
        <w:spacing w:before="0" w:beforeAutospacing="0" w:after="0" w:afterAutospacing="0"/>
        <w:ind w:left="540"/>
        <w:jc w:val="both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7E6998">
        <w:rPr>
          <w:rStyle w:val="s5"/>
          <w:color w:val="000000"/>
        </w:rPr>
        <w:t>§ 3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rStyle w:val="s5"/>
          <w:color w:val="000000"/>
        </w:rPr>
        <w:t>Kandydaci na kierunek Bezpieczeństwo wewnętrzne obowiązani są przedstawić zaświadczenie o braku przeciwskazań zdrowotnych do realizacji zajęć z technik samoobrony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7E6998">
        <w:rPr>
          <w:rStyle w:val="s5"/>
          <w:color w:val="000000"/>
        </w:rPr>
        <w:t>§ 4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rStyle w:val="s5"/>
          <w:color w:val="000000"/>
        </w:rPr>
        <w:t>Pierwszeństwo w przyjęciu na I rok studiów na kierunkach: prawo, administracja i bezpieczeństwo wewnętrzne, mają zwycięzcy konkursu o „indeks” dziekana WPiA, organizowany przez WPiA.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rStyle w:val="s5"/>
          <w:color w:val="000000"/>
        </w:rPr>
        <w:t> </w:t>
      </w:r>
      <w:r w:rsidRPr="007E6998">
        <w:rPr>
          <w:rStyle w:val="apple-converted-space"/>
          <w:color w:val="000000"/>
        </w:rPr>
        <w:t> </w:t>
      </w:r>
    </w:p>
    <w:p w:rsidR="007E6998" w:rsidRPr="007E6998" w:rsidRDefault="007E6998" w:rsidP="00EF1D34">
      <w:pPr>
        <w:pStyle w:val="s6"/>
        <w:spacing w:before="0" w:beforeAutospacing="0" w:after="0" w:afterAutospacing="0"/>
        <w:jc w:val="center"/>
        <w:rPr>
          <w:color w:val="000000"/>
        </w:rPr>
      </w:pPr>
      <w:r w:rsidRPr="007E6998">
        <w:rPr>
          <w:rStyle w:val="s5"/>
          <w:color w:val="000000"/>
        </w:rPr>
        <w:t>§ 5</w:t>
      </w:r>
    </w:p>
    <w:p w:rsidR="007E6998" w:rsidRPr="007E6998" w:rsidRDefault="007E6998">
      <w:pPr>
        <w:ind w:hanging="270"/>
        <w:jc w:val="both"/>
        <w:divId w:val="1949002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Studia II stopnia na kierunku Administracja przeznaczone są dla absolwentów wszystkich kierunków studiów.</w:t>
      </w:r>
    </w:p>
    <w:p w:rsidR="007E6998" w:rsidRPr="007E6998" w:rsidRDefault="007E6998">
      <w:pPr>
        <w:ind w:hanging="270"/>
        <w:jc w:val="both"/>
        <w:divId w:val="143667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Studenci posiadający dyplom licencjata uzyskany na kierunku spoza dziedziny nauk prawnych, obowiązani są zrealizować blok zajęć wyrównawczych obejmujący podstawową wiedzę z zakresu nauk prawnych.</w:t>
      </w:r>
    </w:p>
    <w:p w:rsidR="00EF1D34" w:rsidRDefault="007E6998" w:rsidP="00EF1D34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 w:rsidP="00EF1D34">
      <w:pPr>
        <w:pStyle w:val="s6"/>
        <w:spacing w:before="0" w:beforeAutospacing="0" w:after="0" w:afterAutospacing="0"/>
        <w:jc w:val="center"/>
        <w:rPr>
          <w:color w:val="000000"/>
        </w:rPr>
      </w:pPr>
      <w:r w:rsidRPr="007E6998">
        <w:rPr>
          <w:rStyle w:val="s5"/>
          <w:color w:val="000000"/>
        </w:rPr>
        <w:lastRenderedPageBreak/>
        <w:t>§ 6</w:t>
      </w:r>
    </w:p>
    <w:p w:rsidR="007E6998" w:rsidRPr="007E6998" w:rsidRDefault="007E6998">
      <w:pPr>
        <w:ind w:hanging="270"/>
        <w:jc w:val="both"/>
        <w:divId w:val="367799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Studia II stopnia na kierunku Bezpieczeństwo wewnętrzne przeznaczone są dla absolwentów wszystkich kierunków studiów.</w:t>
      </w:r>
    </w:p>
    <w:p w:rsidR="007E6998" w:rsidRPr="007E6998" w:rsidRDefault="007E6998">
      <w:pPr>
        <w:ind w:hanging="270"/>
        <w:jc w:val="both"/>
        <w:divId w:val="846794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98">
        <w:rPr>
          <w:rStyle w:val="s12"/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E699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998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Studenci posiadający dyplom licencjata uzyskany na kierunku spoza dziedziny nauk prawnych, obowiązani są zrealizować blok zajęć wyrównawczych obejmujący podstawową wiedzę z zakresu nauk prawnych.</w:t>
      </w:r>
    </w:p>
    <w:p w:rsidR="007E6998" w:rsidRPr="007E6998" w:rsidRDefault="007E6998">
      <w:pPr>
        <w:pStyle w:val="s14"/>
        <w:spacing w:before="0" w:beforeAutospacing="0" w:after="0" w:afterAutospacing="0"/>
        <w:ind w:left="540"/>
        <w:jc w:val="both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 w:rsidP="00EF1D34">
      <w:pPr>
        <w:pStyle w:val="s15"/>
        <w:spacing w:before="0" w:beforeAutospacing="0" w:after="0" w:afterAutospacing="0"/>
        <w:jc w:val="center"/>
        <w:rPr>
          <w:color w:val="000000"/>
        </w:rPr>
      </w:pPr>
      <w:r w:rsidRPr="007E6998">
        <w:rPr>
          <w:rStyle w:val="s5"/>
          <w:color w:val="000000"/>
        </w:rPr>
        <w:t>§ 7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rStyle w:val="s5"/>
          <w:color w:val="000000"/>
        </w:rPr>
        <w:t>Na specjalność kryminalistyka i nauki pokrewne w postępowaniu karnym mogą zostać zakwalifikowane osoby przyjęte na kierunek administracja posiadające dyplom ukończenia studiów na kierunkach: administracja, bezpieczeństwo narodowe, bezpieczeństwo wewnętrzne, prawo w biznesie, prawo własności intelektualnej.</w:t>
      </w:r>
      <w:r w:rsidRPr="007E6998">
        <w:rPr>
          <w:rStyle w:val="apple-converted-space"/>
          <w:color w:val="000000"/>
        </w:rPr>
        <w:t> </w:t>
      </w:r>
    </w:p>
    <w:p w:rsidR="007E6998" w:rsidRPr="007E6998" w:rsidRDefault="007E6998">
      <w:pPr>
        <w:pStyle w:val="s6"/>
        <w:spacing w:before="0" w:beforeAutospacing="0" w:after="0" w:afterAutospacing="0"/>
        <w:jc w:val="both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>
      <w:pPr>
        <w:pStyle w:val="s11"/>
        <w:spacing w:before="0" w:beforeAutospacing="0" w:after="150" w:afterAutospacing="0"/>
        <w:jc w:val="both"/>
        <w:rPr>
          <w:color w:val="000000"/>
        </w:rPr>
      </w:pPr>
      <w:r w:rsidRPr="007E6998">
        <w:rPr>
          <w:color w:val="000000"/>
        </w:rPr>
        <w:t> </w:t>
      </w:r>
    </w:p>
    <w:p w:rsidR="007E6998" w:rsidRPr="007E6998" w:rsidRDefault="007E6998">
      <w:pPr>
        <w:pStyle w:val="s16"/>
        <w:spacing w:before="0" w:beforeAutospacing="0" w:after="150" w:afterAutospacing="0"/>
        <w:jc w:val="right"/>
        <w:rPr>
          <w:i/>
          <w:color w:val="000000"/>
        </w:rPr>
      </w:pPr>
      <w:r w:rsidRPr="007E6998">
        <w:rPr>
          <w:rStyle w:val="s9"/>
          <w:i/>
          <w:iCs/>
          <w:color w:val="000000"/>
        </w:rPr>
        <w:t>Przewodniczący Rady Wydziału Prawa i Administracji UWM</w:t>
      </w:r>
    </w:p>
    <w:p w:rsidR="007E6998" w:rsidRPr="007E6998" w:rsidRDefault="007E6998">
      <w:pPr>
        <w:pStyle w:val="s16"/>
        <w:spacing w:before="0" w:beforeAutospacing="0" w:after="150" w:afterAutospacing="0"/>
        <w:jc w:val="right"/>
        <w:rPr>
          <w:color w:val="000000"/>
        </w:rPr>
      </w:pPr>
      <w:r w:rsidRPr="007E6998">
        <w:rPr>
          <w:rStyle w:val="s9"/>
          <w:i/>
          <w:iCs/>
          <w:color w:val="000000"/>
        </w:rPr>
        <w:t>Prof. dr hab. Stanisław Pikulski</w:t>
      </w:r>
    </w:p>
    <w:p w:rsidR="007E6998" w:rsidRPr="007E6998" w:rsidRDefault="007E6998">
      <w:pPr>
        <w:rPr>
          <w:rFonts w:ascii="Times New Roman" w:hAnsi="Times New Roman" w:cs="Times New Roman"/>
          <w:sz w:val="24"/>
          <w:szCs w:val="24"/>
        </w:rPr>
      </w:pPr>
    </w:p>
    <w:sectPr w:rsidR="007E6998" w:rsidRPr="007E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8"/>
    <w:rsid w:val="007E6998"/>
    <w:rsid w:val="00E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9413C"/>
  <w15:chartTrackingRefBased/>
  <w15:docId w15:val="{6DDAE14F-ED8C-0E4C-A8EB-56672FA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"/>
    <w:rsid w:val="007E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7E6998"/>
  </w:style>
  <w:style w:type="character" w:customStyle="1" w:styleId="s5">
    <w:name w:val="s5"/>
    <w:basedOn w:val="DefaultParagraphFont"/>
    <w:rsid w:val="007E6998"/>
  </w:style>
  <w:style w:type="character" w:customStyle="1" w:styleId="apple-converted-space">
    <w:name w:val="apple-converted-space"/>
    <w:basedOn w:val="DefaultParagraphFont"/>
    <w:rsid w:val="007E6998"/>
  </w:style>
  <w:style w:type="paragraph" w:customStyle="1" w:styleId="s11">
    <w:name w:val="s11"/>
    <w:basedOn w:val="Normal"/>
    <w:rsid w:val="007E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7E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7E6998"/>
  </w:style>
  <w:style w:type="paragraph" w:customStyle="1" w:styleId="s14">
    <w:name w:val="s14"/>
    <w:basedOn w:val="Normal"/>
    <w:rsid w:val="007E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Normal"/>
    <w:rsid w:val="007E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rsid w:val="007E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7E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27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6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36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86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0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1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dcterms:created xsi:type="dcterms:W3CDTF">2017-10-07T19:51:00Z</dcterms:created>
  <dcterms:modified xsi:type="dcterms:W3CDTF">2017-10-07T19:52:00Z</dcterms:modified>
</cp:coreProperties>
</file>